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2F1B4" w14:textId="77777777" w:rsidR="002C451C" w:rsidRPr="000730AF" w:rsidRDefault="00FD04FB" w:rsidP="002C451C">
      <w:pPr>
        <w:suppressLineNumbers/>
        <w:spacing w:line="480" w:lineRule="auto"/>
        <w:rPr>
          <w:b/>
          <w:sz w:val="28"/>
          <w:szCs w:val="28"/>
          <w:lang w:val="en-US"/>
        </w:rPr>
      </w:pPr>
      <w:r>
        <w:rPr>
          <w:b/>
          <w:sz w:val="28"/>
          <w:szCs w:val="28"/>
          <w:lang w:val="en-US"/>
        </w:rPr>
        <w:t>SUPPLEMENTARY</w:t>
      </w:r>
      <w:r w:rsidR="002C451C" w:rsidRPr="000730AF">
        <w:rPr>
          <w:b/>
          <w:sz w:val="28"/>
          <w:szCs w:val="28"/>
          <w:lang w:val="en-US"/>
        </w:rPr>
        <w:t xml:space="preserve"> </w:t>
      </w:r>
      <w:r>
        <w:rPr>
          <w:b/>
          <w:sz w:val="28"/>
          <w:szCs w:val="28"/>
          <w:lang w:val="en-US"/>
        </w:rPr>
        <w:t>FILE</w:t>
      </w:r>
    </w:p>
    <w:p w14:paraId="389F74C3" w14:textId="77777777" w:rsidR="002C451C" w:rsidRPr="00FD04FB" w:rsidRDefault="002C451C" w:rsidP="002C451C">
      <w:pPr>
        <w:spacing w:line="480" w:lineRule="auto"/>
        <w:rPr>
          <w:rStyle w:val="SubtleEmphasis"/>
          <w:b/>
          <w:i w:val="0"/>
          <w:sz w:val="24"/>
          <w:szCs w:val="24"/>
          <w:lang w:val="en-US"/>
        </w:rPr>
      </w:pPr>
      <w:r w:rsidRPr="00FD04FB">
        <w:rPr>
          <w:rStyle w:val="SubtleEmphasis"/>
          <w:b/>
          <w:i w:val="0"/>
          <w:sz w:val="24"/>
          <w:szCs w:val="24"/>
          <w:lang w:val="en-US"/>
        </w:rPr>
        <w:t xml:space="preserve">Mock community </w:t>
      </w:r>
    </w:p>
    <w:p w14:paraId="584F25AB" w14:textId="77777777" w:rsidR="002C451C" w:rsidRPr="00A07A41" w:rsidRDefault="002C451C" w:rsidP="002C451C">
      <w:pPr>
        <w:spacing w:line="480" w:lineRule="auto"/>
        <w:rPr>
          <w:sz w:val="24"/>
          <w:szCs w:val="24"/>
          <w:lang w:val="en-US"/>
        </w:rPr>
      </w:pPr>
      <w:r w:rsidRPr="00A07A41">
        <w:rPr>
          <w:color w:val="000000" w:themeColor="text1"/>
          <w:sz w:val="24"/>
          <w:szCs w:val="24"/>
          <w:lang w:val="en-US"/>
        </w:rPr>
        <w:t>A mock community was created by combining anaerobic cultures from 4 bacterial species belong</w:t>
      </w:r>
      <w:r w:rsidR="00FD04FB">
        <w:rPr>
          <w:color w:val="000000" w:themeColor="text1"/>
          <w:sz w:val="24"/>
          <w:szCs w:val="24"/>
          <w:lang w:val="en-US"/>
        </w:rPr>
        <w:t xml:space="preserve">ing to either one of the phyla </w:t>
      </w:r>
      <w:proofErr w:type="spellStart"/>
      <w:r w:rsidR="00FD04FB">
        <w:rPr>
          <w:color w:val="000000" w:themeColor="text1"/>
          <w:sz w:val="24"/>
          <w:szCs w:val="24"/>
          <w:lang w:val="en-US"/>
        </w:rPr>
        <w:t>Gammaproteobacteria</w:t>
      </w:r>
      <w:proofErr w:type="spellEnd"/>
      <w:r w:rsidR="00FD04FB">
        <w:rPr>
          <w:color w:val="000000" w:themeColor="text1"/>
          <w:sz w:val="24"/>
          <w:szCs w:val="24"/>
          <w:lang w:val="en-US"/>
        </w:rPr>
        <w:t xml:space="preserve">, </w:t>
      </w:r>
      <w:proofErr w:type="spellStart"/>
      <w:r w:rsidR="00FD04FB">
        <w:rPr>
          <w:color w:val="000000" w:themeColor="text1"/>
          <w:sz w:val="24"/>
          <w:szCs w:val="24"/>
          <w:lang w:val="en-US"/>
        </w:rPr>
        <w:t>Firmicutes</w:t>
      </w:r>
      <w:proofErr w:type="spellEnd"/>
      <w:r w:rsidR="00FD04FB">
        <w:rPr>
          <w:color w:val="000000" w:themeColor="text1"/>
          <w:sz w:val="24"/>
          <w:szCs w:val="24"/>
          <w:lang w:val="en-US"/>
        </w:rPr>
        <w:t xml:space="preserve">, </w:t>
      </w:r>
      <w:proofErr w:type="spellStart"/>
      <w:r w:rsidR="00FD04FB">
        <w:rPr>
          <w:color w:val="000000" w:themeColor="text1"/>
          <w:sz w:val="24"/>
          <w:szCs w:val="24"/>
          <w:lang w:val="en-US"/>
        </w:rPr>
        <w:t>Actinobactera</w:t>
      </w:r>
      <w:proofErr w:type="spellEnd"/>
      <w:r w:rsidR="00FD04FB">
        <w:rPr>
          <w:color w:val="000000" w:themeColor="text1"/>
          <w:sz w:val="24"/>
          <w:szCs w:val="24"/>
          <w:lang w:val="en-US"/>
        </w:rPr>
        <w:t xml:space="preserve"> and </w:t>
      </w:r>
      <w:proofErr w:type="spellStart"/>
      <w:r w:rsidR="00FD04FB">
        <w:rPr>
          <w:color w:val="000000" w:themeColor="text1"/>
          <w:sz w:val="24"/>
          <w:szCs w:val="24"/>
          <w:lang w:val="en-US"/>
        </w:rPr>
        <w:t>B</w:t>
      </w:r>
      <w:r w:rsidRPr="00A07A41">
        <w:rPr>
          <w:color w:val="000000" w:themeColor="text1"/>
          <w:sz w:val="24"/>
          <w:szCs w:val="24"/>
          <w:lang w:val="en-US"/>
        </w:rPr>
        <w:t>acteroidetes</w:t>
      </w:r>
      <w:proofErr w:type="spellEnd"/>
      <w:r w:rsidRPr="00A07A41">
        <w:rPr>
          <w:color w:val="000000" w:themeColor="text1"/>
          <w:sz w:val="24"/>
          <w:szCs w:val="24"/>
          <w:lang w:val="en-US"/>
        </w:rPr>
        <w:t xml:space="preserve">. Bacterial pellets were dissolved in PBS and adjusted to an optical density (OD) of 1. OD values are an estimation of the amount of bacterial cells in a suspension, however, it does not take into account the different sizes of each species, so an estimated ratio from 40: 30: 20: 10 was created of </w:t>
      </w:r>
      <w:proofErr w:type="spellStart"/>
      <w:r w:rsidRPr="00A07A41">
        <w:rPr>
          <w:i/>
          <w:color w:val="000000" w:themeColor="text1"/>
          <w:sz w:val="24"/>
          <w:szCs w:val="24"/>
          <w:lang w:val="en-US"/>
        </w:rPr>
        <w:t>Bacteroides</w:t>
      </w:r>
      <w:proofErr w:type="spellEnd"/>
      <w:r w:rsidRPr="00A07A41">
        <w:rPr>
          <w:i/>
          <w:color w:val="000000" w:themeColor="text1"/>
          <w:sz w:val="24"/>
          <w:szCs w:val="24"/>
          <w:lang w:val="en-US"/>
        </w:rPr>
        <w:t xml:space="preserve"> vulgates</w:t>
      </w:r>
      <w:r w:rsidRPr="00A07A41">
        <w:rPr>
          <w:color w:val="000000" w:themeColor="text1"/>
          <w:sz w:val="24"/>
          <w:szCs w:val="24"/>
          <w:lang w:val="en-US"/>
        </w:rPr>
        <w:t xml:space="preserve"> 3775 </w:t>
      </w:r>
      <w:proofErr w:type="gramStart"/>
      <w:r w:rsidRPr="00A07A41">
        <w:rPr>
          <w:color w:val="000000" w:themeColor="text1"/>
          <w:sz w:val="24"/>
          <w:szCs w:val="24"/>
          <w:lang w:val="en-US"/>
        </w:rPr>
        <w:t>SL(</w:t>
      </w:r>
      <w:proofErr w:type="gramEnd"/>
      <w:r w:rsidRPr="00A07A41">
        <w:rPr>
          <w:color w:val="000000" w:themeColor="text1"/>
          <w:sz w:val="24"/>
          <w:szCs w:val="24"/>
          <w:lang w:val="en-US"/>
        </w:rPr>
        <w:t xml:space="preserve">B)10, </w:t>
      </w:r>
      <w:r w:rsidRPr="00A07A41">
        <w:rPr>
          <w:i/>
          <w:color w:val="000000" w:themeColor="text1"/>
          <w:sz w:val="24"/>
          <w:szCs w:val="24"/>
          <w:lang w:val="en-US"/>
        </w:rPr>
        <w:t>Escherichia coli</w:t>
      </w:r>
      <w:r w:rsidRPr="00A07A41">
        <w:rPr>
          <w:color w:val="000000" w:themeColor="text1"/>
          <w:sz w:val="24"/>
          <w:szCs w:val="24"/>
          <w:lang w:val="en-US"/>
        </w:rPr>
        <w:t xml:space="preserve"> NC101 </w:t>
      </w:r>
      <w:r w:rsidRPr="00A07A41">
        <w:rPr>
          <w:color w:val="000000" w:themeColor="text1"/>
          <w:sz w:val="24"/>
          <w:szCs w:val="24"/>
          <w:lang w:val="en-US"/>
        </w:rPr>
        <w:fldChar w:fldCharType="begin" w:fldLock="1"/>
      </w:r>
      <w:r w:rsidR="00FF5F7A">
        <w:rPr>
          <w:color w:val="000000" w:themeColor="text1"/>
          <w:sz w:val="24"/>
          <w:szCs w:val="24"/>
          <w:lang w:val="en-US"/>
        </w:rPr>
        <w:instrText>ADDIN CSL_CITATION { "citationItems" : [ { "id" : "ITEM-1", "itemData" : { "ISSN" : "0016-5085", "PMID" : "15825073", "abstract" : "BACKGROUND &amp; AIMS To explore the hypothesis that selective immune responses to distinct components of the intestinal microflora induce intestinal inflammation, we characterized disease kinetics and bacterial antigen-specific T-cell responses in ex germ-free interleukin 10 -/- and wild-type control mice monoassociated with Enterococcus faecalis , Escherichia coli , or Pseudomonas fluorescens . METHODS Colitis was measured by using blinded histological scores and spontaneous interleukin 12 secretion from colonic strip culture supernatants. Interferon gamma secretion was measured from mesenteric or caudal lymph node CD4 + T cells stimulated with bacterial lysate-pulsed antigen-presenting cells. Luminal bacterial concentrations were measured by culture and quantitative polymerase chain reaction. RESULTS Escherichia coli induced mild cecal inflammation after 3 weeks of monoassociation in interleukin 10 -/- mice. In contrast, Enterococcus faecalis-monoassociated interleukin 10 -/- mice developed distal colitis at 10-12 weeks that was progressively more severe and associated with duodenal inflammation and obstruction by 30 weeks. Neither bacterial strain induced inflammation in wild-type mice, and germ-free and Pseudomonas fluorescens-monoassociated interleukin 10 -/- mice remained disease free. CD4 + T cells from Enterococcus faecalis- or Escherichia coli-monoassociated interleukin 10 -/- mice selectively produced higher levels of interferon gamma and interleukin 4 when stimulated with antigen-presenting cells pulsed with the bacterial species that induced disease; these immune responses preceded the onset of histological inflammation in Enterococcus faecalis -monoassociated mice. Luminal bacterial concentrations did not explain regional differences in inflammation. CONCLUSIONS Different commensal bacterial species selectively initiate immune-mediated intestinal inflammation with distinctly different kinetics and anatomic distribution in the same host.", "author" : [ { "dropping-particle" : "", "family" : "Kim", "given" : "Sandra C", "non-dropping-particle" : "", "parse-names" : false, "suffix" : "" }, { "dropping-particle" : "", "family" : "Tonkonogy", "given" : "Susan L", "non-dropping-particle" : "", "parse-names" : false, "suffix" : "" }, { "dropping-particle" : "", "family" : "Albright", "given" : "Carol A", "non-dropping-particle" : "", "parse-names" : false, "suffix" : "" }, { "dropping-particle" : "", "family" : "Tsang", "given" : "Julia", "non-dropping-particle" : "", "parse-names" : false, "suffix" : "" }, { "dropping-particle" : "", "family" : "Balish", "given" : "Edward J", "non-dropping-particle" : "", "parse-names" : false, "suffix" : "" }, { "dropping-particle" : "", "family" : "Braun", "given" : "Jonathon", "non-dropping-particle" : "", "parse-names" : false, "suffix" : "" }, { "dropping-particle" : "", "family" : "Huycke", "given" : "Mark M", "non-dropping-particle" : "", "parse-names" : false, "suffix" : "" }, { "dropping-particle" : "", "family" : "Sartor", "given" : "R Balfour", "non-dropping-particle" : "", "parse-names" : false, "suffix" : "" } ], "container-title" : "Gastroenterology", "id" : "ITEM-1", "issue" : "4", "issued" : { "date-parts" : [ [ "2005", "4" ] ] }, "page" : "891-906", "title" : "Variable phenotypes of enterocolitis in interleukin 10-deficient mice monoassociated with two different commensal bacteria.", "type" : "article-journal", "volume" : "128" }, "uris" : [ "http://www.mendeley.com/documents/?uuid=57ca81e1-0f0a-3d2e-94cf-e44f7f70e9aa" ] } ], "mendeley" : { "formattedCitation" : "[1]", "plainTextFormattedCitation" : "[1]", "previouslyFormattedCitation" : "[1]" }, "properties" : { "noteIndex" : 0 }, "schema" : "https://github.com/citation-style-language/schema/raw/master/csl-citation.json" }</w:instrText>
      </w:r>
      <w:r w:rsidRPr="00A07A41">
        <w:rPr>
          <w:color w:val="000000" w:themeColor="text1"/>
          <w:sz w:val="24"/>
          <w:szCs w:val="24"/>
          <w:lang w:val="en-US"/>
        </w:rPr>
        <w:fldChar w:fldCharType="separate"/>
      </w:r>
      <w:r w:rsidR="00FF5F7A" w:rsidRPr="00FF5F7A">
        <w:rPr>
          <w:noProof/>
          <w:color w:val="000000" w:themeColor="text1"/>
          <w:sz w:val="24"/>
          <w:szCs w:val="24"/>
          <w:lang w:val="en-US"/>
        </w:rPr>
        <w:t>[1]</w:t>
      </w:r>
      <w:r w:rsidRPr="00A07A41">
        <w:rPr>
          <w:color w:val="000000" w:themeColor="text1"/>
          <w:sz w:val="24"/>
          <w:szCs w:val="24"/>
          <w:lang w:val="en-US"/>
        </w:rPr>
        <w:fldChar w:fldCharType="end"/>
      </w:r>
      <w:r w:rsidRPr="00A07A41">
        <w:rPr>
          <w:color w:val="000000" w:themeColor="text1"/>
          <w:sz w:val="24"/>
          <w:szCs w:val="24"/>
          <w:lang w:val="en-US"/>
        </w:rPr>
        <w:t xml:space="preserve">, </w:t>
      </w:r>
      <w:r w:rsidRPr="00A07A41">
        <w:rPr>
          <w:i/>
          <w:color w:val="000000" w:themeColor="text1"/>
          <w:sz w:val="24"/>
          <w:szCs w:val="24"/>
          <w:lang w:val="en-US"/>
        </w:rPr>
        <w:t xml:space="preserve">Streptococcus </w:t>
      </w:r>
      <w:proofErr w:type="spellStart"/>
      <w:r w:rsidRPr="00A07A41">
        <w:rPr>
          <w:i/>
          <w:color w:val="000000" w:themeColor="text1"/>
          <w:sz w:val="24"/>
          <w:szCs w:val="24"/>
          <w:lang w:val="en-US"/>
        </w:rPr>
        <w:t>gallolyticus</w:t>
      </w:r>
      <w:proofErr w:type="spellEnd"/>
      <w:r w:rsidRPr="00A07A41">
        <w:rPr>
          <w:color w:val="000000" w:themeColor="text1"/>
          <w:sz w:val="24"/>
          <w:szCs w:val="24"/>
          <w:lang w:val="en-US"/>
        </w:rPr>
        <w:t xml:space="preserve"> subsp. </w:t>
      </w:r>
      <w:proofErr w:type="spellStart"/>
      <w:r w:rsidRPr="00A07A41">
        <w:rPr>
          <w:i/>
          <w:color w:val="000000" w:themeColor="text1"/>
          <w:sz w:val="24"/>
          <w:szCs w:val="24"/>
          <w:lang w:val="en-US"/>
        </w:rPr>
        <w:t>gallolyticus</w:t>
      </w:r>
      <w:proofErr w:type="spellEnd"/>
      <w:r w:rsidRPr="00A07A41">
        <w:rPr>
          <w:color w:val="000000" w:themeColor="text1"/>
          <w:sz w:val="24"/>
          <w:szCs w:val="24"/>
          <w:lang w:val="en-US"/>
        </w:rPr>
        <w:t xml:space="preserve"> UCN34 </w:t>
      </w:r>
      <w:r w:rsidRPr="00A07A41">
        <w:rPr>
          <w:color w:val="000000" w:themeColor="text1"/>
          <w:sz w:val="24"/>
          <w:szCs w:val="24"/>
          <w:lang w:val="en-US"/>
        </w:rPr>
        <w:fldChar w:fldCharType="begin" w:fldLock="1"/>
      </w:r>
      <w:r w:rsidR="00FF5F7A">
        <w:rPr>
          <w:color w:val="000000" w:themeColor="text1"/>
          <w:sz w:val="24"/>
          <w:szCs w:val="24"/>
          <w:lang w:val="en-US"/>
        </w:rPr>
        <w:instrText>ADDIN CSL_CITATION { "citationItems" : [ { "id" : "ITEM-1", "itemData" : { "abstract" : "The prevalence of Streptococcus gallolyticus subsp gallolyticus ( Streptococcus bovis biotype I) endocarditis is in general low but very often linked to colorectal cancer. Therefore, this study aimed to reveal the virulence characteristics that distinguish this opportunistic pathogen from a panel of (closely related) intestinal bacteria.", "author" : [ { "dropping-particle" : "", "family" : "Boleij", "given" : "Annemarie", "non-dropping-particle" : "", "parse-names" : false, "suffix" : "" }, { "dropping-particle" : "", "family" : "Muytjens", "given" : "Carla M J", "non-dropping-particle" : "", "parse-names" : false, "suffix" : "" }, { "dropping-particle" : "", "family" : "Bukhari", "given" : "Sarah I", "non-dropping-particle" : "", "parse-names" : false, "suffix" : "" }, { "dropping-particle" : "", "family" : "Cayet", "given" : "Nad\u00e8ge", "non-dropping-particle" : "", "parse-names" : false, "suffix" : "" }, { "dropping-particle" : "", "family" : "Glaser", "given" : "Philippe", "non-dropping-particle" : "", "parse-names" : false, "suffix" : "" }, { "dropping-particle" : "", "family" : "Hermans", "given" : "Peter W M", "non-dropping-particle" : "", "parse-names" : false, "suffix" : "" }, { "dropping-particle" : "", "family" : "Swinkels", "given" : "Dorine W", "non-dropping-particle" : "", "parse-names" : false, "suffix" : "" }, { "dropping-particle" : "", "family" : "Bolhuis", "given" : "Albert", "non-dropping-particle" : "", "parse-names" : false, "suffix" : "" }, { "dropping-particle" : "", "family" : "Tjalsma", "given" : "Harold", "non-dropping-particle" : "", "parse-names" : false, "suffix" : "" } ], "container-title" : "The Journal of infectious diseases", "id" : "ITEM-1", "issue" : "8", "issued" : { "date-parts" : [ [ "2011" ] ] }, "page" : "1101-1109", "title" : "Novel clues on the specific association of Streptococcus gallolyticus subsp gallolyticus with colorectal cancer.", "type" : "article-journal", "volume" : "203" }, "uris" : [ "http://www.mendeley.com/documents/?uuid=76f90795-cc5a-4665-8e64-4b72c3ca8434" ] } ], "mendeley" : { "formattedCitation" : "[2]", "plainTextFormattedCitation" : "[2]", "previouslyFormattedCitation" : "[2]" }, "properties" : { "noteIndex" : 0 }, "schema" : "https://github.com/citation-style-language/schema/raw/master/csl-citation.json" }</w:instrText>
      </w:r>
      <w:r w:rsidRPr="00A07A41">
        <w:rPr>
          <w:color w:val="000000" w:themeColor="text1"/>
          <w:sz w:val="24"/>
          <w:szCs w:val="24"/>
          <w:lang w:val="en-US"/>
        </w:rPr>
        <w:fldChar w:fldCharType="separate"/>
      </w:r>
      <w:r w:rsidR="00FF5F7A" w:rsidRPr="00FF5F7A">
        <w:rPr>
          <w:noProof/>
          <w:color w:val="000000" w:themeColor="text1"/>
          <w:sz w:val="24"/>
          <w:szCs w:val="24"/>
          <w:lang w:val="en-US"/>
        </w:rPr>
        <w:t>[2]</w:t>
      </w:r>
      <w:r w:rsidRPr="00A07A41">
        <w:rPr>
          <w:color w:val="000000" w:themeColor="text1"/>
          <w:sz w:val="24"/>
          <w:szCs w:val="24"/>
          <w:lang w:val="en-US"/>
        </w:rPr>
        <w:fldChar w:fldCharType="end"/>
      </w:r>
      <w:r w:rsidRPr="00A07A41">
        <w:rPr>
          <w:color w:val="000000" w:themeColor="text1"/>
          <w:sz w:val="24"/>
          <w:szCs w:val="24"/>
          <w:lang w:val="en-US"/>
        </w:rPr>
        <w:t xml:space="preserve"> and </w:t>
      </w:r>
      <w:proofErr w:type="spellStart"/>
      <w:r w:rsidRPr="00A07A41">
        <w:rPr>
          <w:i/>
          <w:color w:val="000000" w:themeColor="text1"/>
          <w:sz w:val="24"/>
          <w:szCs w:val="24"/>
          <w:lang w:val="en-US"/>
        </w:rPr>
        <w:t>Colinsella</w:t>
      </w:r>
      <w:proofErr w:type="spellEnd"/>
      <w:r w:rsidRPr="00A07A41">
        <w:rPr>
          <w:i/>
          <w:color w:val="000000" w:themeColor="text1"/>
          <w:sz w:val="24"/>
          <w:szCs w:val="24"/>
          <w:lang w:val="en-US"/>
        </w:rPr>
        <w:t xml:space="preserve"> </w:t>
      </w:r>
      <w:proofErr w:type="spellStart"/>
      <w:r w:rsidRPr="00A07A41">
        <w:rPr>
          <w:i/>
          <w:color w:val="000000" w:themeColor="text1"/>
          <w:sz w:val="24"/>
          <w:szCs w:val="24"/>
          <w:lang w:val="en-US"/>
        </w:rPr>
        <w:t>intestinalis</w:t>
      </w:r>
      <w:proofErr w:type="spellEnd"/>
      <w:r w:rsidRPr="00A07A41">
        <w:rPr>
          <w:color w:val="000000" w:themeColor="text1"/>
          <w:sz w:val="24"/>
          <w:szCs w:val="24"/>
          <w:lang w:val="en-US"/>
        </w:rPr>
        <w:t xml:space="preserve"> DSM 13280 respectively. The mock community was used to calculate PCR efficiencies of all the individual primer pairs.</w:t>
      </w:r>
    </w:p>
    <w:p w14:paraId="6F65003D" w14:textId="77777777" w:rsidR="002C451C" w:rsidRPr="00FD04FB" w:rsidRDefault="002C451C" w:rsidP="002C451C">
      <w:pPr>
        <w:spacing w:line="480" w:lineRule="auto"/>
        <w:rPr>
          <w:rStyle w:val="SubtleEmphasis"/>
          <w:b/>
          <w:i w:val="0"/>
          <w:sz w:val="24"/>
          <w:szCs w:val="24"/>
          <w:lang w:val="en-US"/>
        </w:rPr>
      </w:pPr>
      <w:r w:rsidRPr="00FD04FB">
        <w:rPr>
          <w:rStyle w:val="SubtleEmphasis"/>
          <w:b/>
          <w:i w:val="0"/>
          <w:sz w:val="24"/>
          <w:szCs w:val="24"/>
          <w:lang w:val="en-US"/>
        </w:rPr>
        <w:t>Optimization of stool DNA isolation protocol</w:t>
      </w:r>
    </w:p>
    <w:p w14:paraId="10C70C50" w14:textId="77777777" w:rsidR="002C451C" w:rsidRPr="00A07A41" w:rsidRDefault="00FF5F7A" w:rsidP="002C451C">
      <w:pPr>
        <w:spacing w:line="480" w:lineRule="auto"/>
        <w:rPr>
          <w:sz w:val="24"/>
          <w:szCs w:val="24"/>
          <w:lang w:val="en-US"/>
        </w:rPr>
      </w:pPr>
      <w:r w:rsidRPr="00A07A41">
        <w:rPr>
          <w:sz w:val="24"/>
          <w:szCs w:val="24"/>
          <w:lang w:val="en-US"/>
        </w:rPr>
        <w:t xml:space="preserve">DNA quality and quantity also depends substantially on the DNA extraction method used </w:t>
      </w:r>
      <w:r w:rsidRPr="00A07A41">
        <w:rPr>
          <w:sz w:val="24"/>
          <w:szCs w:val="24"/>
          <w:lang w:val="en-US"/>
        </w:rPr>
        <w:fldChar w:fldCharType="begin" w:fldLock="1"/>
      </w:r>
      <w:r>
        <w:rPr>
          <w:sz w:val="24"/>
          <w:szCs w:val="24"/>
          <w:lang w:val="en-US"/>
        </w:rPr>
        <w:instrText>ADDIN CSL_CITATION { "citationItems" : [ { "id" : "ITEM-1", "itemData" : { "DOI" : "10.1016/j.mimet.2007.11.007", "ISSN" : "01677012", "PMID" : "18162191", "abstract" : "Feces contain intestinal bacteria and exfoliated epithelial cells that may provide useful information concerning gastrointestinal tract health. Intestinal bacteria that synthesize or metabolize potential carcinogens and produce anti-tumorigenic products may have relevance to colorectal cancer, the second most common cause of cancer deaths in the USA. To facilitate epidemiological studies relating bacterial and epithelial cell DNA and RNA markers, preservative/extraction methods suitable for self-collection and shipping of fecal samples at room temperature were tested. Purification and PCR amplification of fecal DNA were compared after preservation of stool samples in RNAlater (R) or Paxgene (P), or after drying over silica gel (S) or on Whatman FTA cards (W). Comparisons were made to samples frozen in liquid nitrogen (N2). DNA purification methods included Whatman (accompanying FTA cards), Mo-Bio Fecal (MB), Qiagen Stool (QS), and others. Extraction methods were compared for amount of DNA extracted, DNA amplifiable in a real-time SYBR-Green quantitative PCR format, and the presence of PCR inhibitors. DNA can be extracted after room temperature storage for five days from W, R, S and P, and from N2 frozen samples. High amounts of total DNA and PCR-amplifiable Bacteroides spp. DNA (34%+/-9% of total DNA) with relatively little PCR inhibition were especially obtained with QS extraction applied to R preserved samples (method QS-R). DNA for human reduced folate carrier (SLC19A1) genomic sequence was also detected in 90% of the QS-R extracts. Thus, fecal DNA is well preserved by methods suitable for self-collection that may be useful in future molecular epidemiological studies of intestinal bacteria and human cancer markers.", "author" : [ { "dropping-particle" : "", "family" : "Nechvatal", "given" : "Jordan M.", "non-dropping-particle" : "", "parse-names" : false, "suffix" : "" }, { "dropping-particle" : "", "family" : "Ram", "given" : "Jeffrey L.", "non-dropping-particle" : "", "parse-names" : false, "suffix" : "" }, { "dropping-particle" : "", "family" : "Basson", "given" : "Marc D.", "non-dropping-particle" : "", "parse-names" : false, "suffix" : "" }, { "dropping-particle" : "", "family" : "Namprachan", "given" : "Phanramphoei", "non-dropping-particle" : "", "parse-names" : false, "suffix" : "" }, { "dropping-particle" : "", "family" : "Niec", "given" : "Stephanie R.", "non-dropping-particle" : "", "parse-names" : false, "suffix" : "" }, { "dropping-particle" : "", "family" : "Badsha", "given" : "Kawsar Z.", "non-dropping-particle" : "", "parse-names" : false, "suffix" : "" }, { "dropping-particle" : "", "family" : "Matherly", "given" : "Larry H.", "non-dropping-particle" : "", "parse-names" : false, "suffix" : "" }, { "dropping-particle" : "", "family" : "Majumdar", "given" : "Adhip P.N.", "non-dropping-particle" : "", "parse-names" : false, "suffix" : "" }, { "dropping-particle" : "", "family" : "Kato", "given" : "Ikuko", "non-dropping-particle" : "", "parse-names" : false, "suffix" : "" } ], "container-title" : "Journal of Microbiological Methods", "id" : "ITEM-1", "issue" : "2", "issued" : { "date-parts" : [ [ "2008", "2" ] ] }, "page" : "124-132", "title" : "Fecal collection, ambient preservation, and DNA extraction for PCR amplification of bacterial and human markers from human feces", "type" : "article-journal", "volume" : "72" }, "uris" : [ "http://www.mendeley.com/documents/?uuid=d8e02fca-dd95-3a5a-ac3a-48b1b1ab859d" ] }, { "id" : "ITEM-2", "itemData" : { "DOI" : "10.1371/journal.pone.0088982", "ISSN" : "1932-6203", "PMID" : "24586470", "abstract" : "INTRODUCTION: Determining bacterial community structure in fecal samples through DNA sequencing is an important facet of intestinal health research. The impact of different commercially available DNA extraction kits upon bacterial community structures has received relatively little attention. The aim of this study was to analyze bacterial communities in volunteer and inflammatory bowel disease (IBD) patient fecal samples extracted using widely used DNA extraction kits in established gastrointestinal research laboratories.\n\nMETHODS: Fecal samples from two healthy volunteers (H3 and H4) and two relapsing IBD patients (I1 and I2) were investigated. DNA extraction was undertaken using MoBio Powersoil and MP Biomedicals FastDNA SPIN Kit for Soil DNA extraction kits. PCR amplification for pyrosequencing of bacterial 16S rRNA genes was performed in both laboratories on all samples. Hierarchical clustering of sequencing data was done using the Yue and Clayton similarity coefficient.\n\nRESULTS: DNA extracted using the FastDNA kit and the MoBio kit gave median DNA concentrations of 475 (interquartile range 228-561) and 22 (IQR 9-36) ng/\u00b5L respectively (p&lt;0.0001). Hierarchical clustering of sequence data by Yue and Clayton coefficient revealed four clusters. Samples from individuals H3 and I2 clustered by patient; however, samples from patient I1 extracted with the MoBio kit clustered with samples from patient H4 rather than the other I1 samples. Linear modelling on relative abundance of common bacterial families revealed significant differences between kits; samples extracted with MoBio Powersoil showed significantly increased Bacteroidaceae, Ruminococcaceae and Porphyromonadaceae, and lower Enterobacteriaceae, Lachnospiraceae, Clostridiaceae, and Erysipelotrichaceae (p&lt;0.05).\n\nCONCLUSION: This study demonstrates significant differences in DNA yield and bacterial DNA composition when comparing DNA extracted from the same fecal sample with different extraction kits. This highlights the importance of ensuring that samples in a study are prepared with the same method, and the need for caution when cross-comparing studies that use different methods.", "author" : [ { "dropping-particle" : "", "family" : "Kennedy", "given" : "Nicholas A", "non-dropping-particle" : "", "parse-names" : false, "suffix" : "" }, { "dropping-particle" : "", "family" : "Walker", "given" : "Alan W", "non-dropping-particle" : "", "parse-names" : false, "suffix" : "" }, { "dropping-particle" : "", "family" : "Berry", "given" : "Susan H", "non-dropping-particle" : "", "parse-names" : false, "suffix" : "" }, { "dropping-particle" : "", "family" : "Duncan", "given" : "Sylvia H", "non-dropping-particle" : "", "parse-names" : false, "suffix" : "" }, { "dropping-particle" : "", "family" : "Farquarson", "given" : "Freda M", "non-dropping-particle" : "", "parse-names" : false, "suffix" : "" }, { "dropping-particle" : "", "family" : "Louis", "given" : "Petra", "non-dropping-particle" : "", "parse-names" : false, "suffix" : "" }, { "dropping-particle" : "", "family" : "Thomson", "given" : "John M", "non-dropping-particle" : "", "parse-names" : false, "suffix" : "" }, { "dropping-particle" : "", "family" : "Satsangi", "given" : "Jack", "non-dropping-particle" : "", "parse-names" : false, "suffix" : "" }, { "dropping-particle" : "", "family" : "Flint", "given" : "Harry J", "non-dropping-particle" : "", "parse-names" : false, "suffix" : "" }, { "dropping-particle" : "", "family" : "Parkhill", "given" : "Julian", "non-dropping-particle" : "", "parse-names" : false, "suffix" : "" }, { "dropping-particle" : "", "family" : "Lees", "given" : "Charlie W", "non-dropping-particle" : "", "parse-names" : false, "suffix" : "" }, { "dropping-particle" : "", "family" : "Hold", "given" : "Georgina L", "non-dropping-particle" : "", "parse-names" : false, "suffix" : "" } ], "container-title" : "PloS one", "id" : "ITEM-2", "issue" : "2", "issued" : { "date-parts" : [ [ "2014", "1", "24" ] ] }, "page" : "e88982", "publisher" : "Public Library of Science", "title" : "The impact of different DNA extraction kits and laboratories upon the assessment of human gut microbiota composition by 16S rRNA gene sequencing.", "type" : "article-journal", "volume" : "9" }, "uris" : [ "http://www.mendeley.com/documents/?uuid=3580aacb-fc87-4200-9de4-9e5109337258" ] }, { "id" : "ITEM-3", "itemData" : { "DOI" : "10.1038/ajg.2014.73", "ISSN" : "1572-0241", "PMID" : "24751579", "abstract" : "The application of high-throughput next-generation sequencing to the analysis of the human microbiome has led to a shift in our understanding of the etiology of complex diseases. In consequence, a great deal of literature can now be found exploring this complex system, and reviewing recent findings. Observations of alterations in the intestinal microbiome associating with inflammatory bowel disease and other chronic conditions are well supported and have been widely accepted by the research community. Yet, it can be difficult to objectively evaluate the importance of these results, given the wide variety of methodologies applied by different groups in the field. The aim of this review is to focus attention on the basic principles involved in microbiome analyses, and to describe factors that may have an impact on the accurate interpretation of results.", "author" : [ { "dropping-particle" : "", "family" : "Tyler", "given" : "Andrea D", "non-dropping-particle" : "", "parse-names" : false, "suffix" : "" }, { "dropping-particle" : "", "family" : "Smith", "given" : "Michelle I", "non-dropping-particle" : "", "parse-names" : false, "suffix" : "" }, { "dropping-particle" : "", "family" : "Silverberg", "given" : "Mark S", "non-dropping-particle" : "", "parse-names" : false, "suffix" : "" } ], "container-title" : "The American journal of gastroenterology", "id" : "ITEM-3", "issue" : "7", "issued" : { "date-parts" : [ [ "2014", "7" ] ] }, "page" : "983-93", "publisher" : "American College of Gastroenterology", "title" : "Analyzing the human microbiome: a \"how to\" guide for physicians.", "title-short" : "Am J Gastroenterol", "type" : "article-journal", "volume" : "109" }, "uris" : [ "http://www.mendeley.com/documents/?uuid=df21a9ea-a1ca-4448-b69b-40765254690a" ] } ], "mendeley" : { "formattedCitation" : "[3\u20135]", "plainTextFormattedCitation" : "[3\u20135]", "previouslyFormattedCitation" : "[11\u201313]" }, "properties" : { "noteIndex" : 0 }, "schema" : "https://github.com/citation-style-language/schema/raw/master/csl-citation.json" }</w:instrText>
      </w:r>
      <w:r w:rsidRPr="00A07A41">
        <w:rPr>
          <w:sz w:val="24"/>
          <w:szCs w:val="24"/>
          <w:lang w:val="en-US"/>
        </w:rPr>
        <w:fldChar w:fldCharType="separate"/>
      </w:r>
      <w:r w:rsidRPr="00FF5F7A">
        <w:rPr>
          <w:noProof/>
          <w:sz w:val="24"/>
          <w:szCs w:val="24"/>
          <w:lang w:val="en-US"/>
        </w:rPr>
        <w:t>[3–5]</w:t>
      </w:r>
      <w:r w:rsidRPr="00A07A41">
        <w:rPr>
          <w:sz w:val="24"/>
          <w:szCs w:val="24"/>
          <w:lang w:val="en-US"/>
        </w:rPr>
        <w:fldChar w:fldCharType="end"/>
      </w:r>
      <w:r>
        <w:rPr>
          <w:sz w:val="24"/>
          <w:szCs w:val="24"/>
          <w:lang w:val="en-US"/>
        </w:rPr>
        <w:t xml:space="preserve">. </w:t>
      </w:r>
      <w:r w:rsidR="002C451C" w:rsidRPr="00A07A41">
        <w:rPr>
          <w:sz w:val="24"/>
          <w:szCs w:val="24"/>
          <w:lang w:val="en-US"/>
        </w:rPr>
        <w:t xml:space="preserve">The </w:t>
      </w:r>
      <w:proofErr w:type="spellStart"/>
      <w:r w:rsidR="002C451C" w:rsidRPr="00A07A41">
        <w:rPr>
          <w:sz w:val="24"/>
          <w:szCs w:val="24"/>
          <w:lang w:val="en-US"/>
        </w:rPr>
        <w:t>Mobio</w:t>
      </w:r>
      <w:proofErr w:type="spellEnd"/>
      <w:r w:rsidR="002C451C" w:rsidRPr="00A07A41">
        <w:rPr>
          <w:sz w:val="24"/>
          <w:szCs w:val="24"/>
          <w:lang w:val="en-US"/>
        </w:rPr>
        <w:t xml:space="preserve"> DNA isolation protocol was used previously in the Human </w:t>
      </w:r>
      <w:proofErr w:type="spellStart"/>
      <w:r w:rsidR="002C451C" w:rsidRPr="00A07A41">
        <w:rPr>
          <w:sz w:val="24"/>
          <w:szCs w:val="24"/>
          <w:lang w:val="en-US"/>
        </w:rPr>
        <w:t>Microbiome</w:t>
      </w:r>
      <w:proofErr w:type="spellEnd"/>
      <w:r w:rsidR="002C451C" w:rsidRPr="00A07A41">
        <w:rPr>
          <w:sz w:val="24"/>
          <w:szCs w:val="24"/>
          <w:lang w:val="en-US"/>
        </w:rPr>
        <w:t xml:space="preserve"> Project </w:t>
      </w:r>
      <w:r w:rsidR="002C451C" w:rsidRPr="00A07A41">
        <w:rPr>
          <w:sz w:val="24"/>
          <w:szCs w:val="24"/>
          <w:lang w:val="en-US"/>
        </w:rPr>
        <w:fldChar w:fldCharType="begin" w:fldLock="1"/>
      </w:r>
      <w:r>
        <w:rPr>
          <w:sz w:val="24"/>
          <w:szCs w:val="24"/>
          <w:lang w:val="en-US"/>
        </w:rPr>
        <w:instrText>ADDIN CSL_CITATION { "citationItems" : [ { "id" : "ITEM-1", "itemData" : { "DOI" : "10.1038/nature11209", "ISSN" : "1476-4687", "PMID" : "22699610", "abstract" : "A variety of microbial communities and their genes (the microbiome) exist throughout the human body, with fundamental roles in human health and disease. The National Institutes of Health (NIH)-funded Human Microbiome Project Consortium has established a population-scale framework to develop metagenomic protocols, resulting in a broad range of quality-controlled resources and data including standardized methods for creating, processing and interpreting distinct types of high-throughput metagenomic data available to the scientific community. Here we present resources from a population of 242 healthy adults sampled at 15 or 18 body sites up to three times, which have generated 5,177 microbial taxonomic profiles from 16S ribosomal RNA genes and over 3.5 terabases of metagenomic sequence so far. In parallel, approximately 800 reference strains isolated from the human body have been sequenced. Collectively, these data represent the largest resource describing the abundance and variety of the human microbiome, while providing a framework for current and future studies.", "container-title" : "Nature", "id" : "ITEM-1", "issue" : "7402", "issued" : { "date-parts" : [ [ "2012", "6", "14" ] ] }, "page" : "215-21", "publisher" : "Nature Publishing Group, a division of Macmillan Publishers Limited. All Rights Reserved.", "title" : "A framework for human microbiome research.", "title-short" : "Nature", "type" : "article-journal", "volume" : "486" }, "uris" : [ "http://www.mendeley.com/documents/?uuid=7231a95d-deb1-43cc-bde3-4edd624f2e86" ] } ], "mendeley" : { "formattedCitation" : "[6]", "plainTextFormattedCitation" : "[6]", "previouslyFormattedCitation" : "[3]" }, "properties" : { "noteIndex" : 0 }, "schema" : "https://github.com/citation-style-language/schema/raw/master/csl-citation.json" }</w:instrText>
      </w:r>
      <w:r w:rsidR="002C451C" w:rsidRPr="00A07A41">
        <w:rPr>
          <w:sz w:val="24"/>
          <w:szCs w:val="24"/>
          <w:lang w:val="en-US"/>
        </w:rPr>
        <w:fldChar w:fldCharType="separate"/>
      </w:r>
      <w:r w:rsidRPr="00FF5F7A">
        <w:rPr>
          <w:noProof/>
          <w:sz w:val="24"/>
          <w:szCs w:val="24"/>
          <w:lang w:val="en-US"/>
        </w:rPr>
        <w:t>[6]</w:t>
      </w:r>
      <w:r w:rsidR="002C451C" w:rsidRPr="00A07A41">
        <w:rPr>
          <w:sz w:val="24"/>
          <w:szCs w:val="24"/>
          <w:lang w:val="en-US"/>
        </w:rPr>
        <w:fldChar w:fldCharType="end"/>
      </w:r>
      <w:r w:rsidR="002C451C" w:rsidRPr="00A07A41">
        <w:rPr>
          <w:sz w:val="24"/>
          <w:szCs w:val="24"/>
          <w:lang w:val="en-US"/>
        </w:rPr>
        <w:t xml:space="preserve">, however, it was shown before that the MP Bio Fast DNA spin kit for soil results in higher DNA yields compared to the </w:t>
      </w:r>
      <w:proofErr w:type="spellStart"/>
      <w:r w:rsidR="002C451C" w:rsidRPr="00A07A41">
        <w:rPr>
          <w:sz w:val="24"/>
          <w:szCs w:val="24"/>
          <w:lang w:val="en-US"/>
        </w:rPr>
        <w:t>Mobio</w:t>
      </w:r>
      <w:proofErr w:type="spellEnd"/>
      <w:r w:rsidR="002C451C" w:rsidRPr="00A07A41">
        <w:rPr>
          <w:sz w:val="24"/>
          <w:szCs w:val="24"/>
          <w:lang w:val="en-US"/>
        </w:rPr>
        <w:t xml:space="preserve"> DNA isolation protocol </w:t>
      </w:r>
      <w:r w:rsidR="002C451C" w:rsidRPr="00A07A41">
        <w:rPr>
          <w:sz w:val="24"/>
          <w:szCs w:val="24"/>
          <w:lang w:val="en-US"/>
        </w:rPr>
        <w:fldChar w:fldCharType="begin" w:fldLock="1"/>
      </w:r>
      <w:r>
        <w:rPr>
          <w:sz w:val="24"/>
          <w:szCs w:val="24"/>
          <w:lang w:val="en-US"/>
        </w:rPr>
        <w:instrText>ADDIN CSL_CITATION { "citationItems" : [ { "id" : "ITEM-1", "itemData" : { "DOI" : "10.1186/1475-2891-9-23", "ISSN" : "1475-2891", "PMID" : "20492702", "abstract" : "BACKGROUND The influence of diet on intestinal microflora has been investigated mainly using conventional microbiological approaches. Although these studies have advanced knowledge on human intestinal microflora, it is imperative that new methods are applied to facilitate scientific progress. Culture-independent molecular fingerprinting method of Polymerase Chain Reaction and Denaturing Gradient Gel Electrophoresis (PCR-DGGE) has been used to study microbial communities in a variety of environmental samples. However, these protocols must be optimized prior to their application in order to enhance the quality and accuracy of downstream analyses. In this study, the relative efficacy of four commercial DNA extraction kits (Mobio Ultra Clean(R) Fecal DNA Isolation Kit, M; QIAamp DNA Stool Mini Kit, Q; FastDNA SPIN Kit, FSp; FastDNA SPIN Kit for Soil, FSo) were evaluated. Further, PCR-DGGE technique was also assessed for its feasibility in detecting differences in human intestinal bacterial fingerprint profiles. METHOD Total DNA was extracted from varying weights of human fecal specimens using four different kits, followed by PCR amplification of bacterial 16S rRNA genes, and DGGE separation of the amplicons. RESULTS Regardless of kit, maximum DNA yield was obtained using 10 to 50 mg (wet wt) of fecal specimens and similar DGGE profiles were obtained. However, kits FSp and FSo extracted significantly larger amounts of DNA per g dry fecal specimens and produced more bands on their DGGE profiles than kits M and Q due to their use of bead-containing lysing matrix and vigorous shaking step. DGGE of 16S rRNA gene PCR products was suitable for capturing the profiles of human intestinal microbial community and enabled rapid comparative assessment of inter- and intra-subject differences. CONCLUSION We conclude that extraction kits that incorporated bead-containing lysing matrix and vigorous shaking produced high quality DNA from human fecal specimens (10 to 50 mg, wet wt) that can be resolved as bacterial community fingerprints using PCR-DGGE technique. Subsequently, PCR-DGGE technique can be applied for studying variations in human intestinal microbial communities.", "author" : [ { "dropping-particle" : "", "family" : "Ariefdjohan", "given" : "Merlin W", "non-dropping-particle" : "", "parse-names" : false, "suffix" : "" }, { "dropping-particle" : "", "family" : "Savaiano", "given" : "Dennis A", "non-dropping-particle" : "", "parse-names" : false, "suffix" : "" }, { "dropping-particle" : "", "family" : "Nakatsu", "given" : "Cindy H", "non-dropping-particle" : "", "parse-names" : false, "suffix" : "" } ], "container-title" : "Nutrition journal", "id" : "ITEM-1", "issue" : "1", "issued" : { "date-parts" : [ [ "2010", "5", "22" ] ] }, "page" : "23", "title" : "Comparison of DNA extraction kits for PCR-DGGE analysis of human intestinal microbial communities from fecal specimens.", "type" : "article-journal", "volume" : "9" }, "uris" : [ "http://www.mendeley.com/documents/?uuid=9bc80c52-c625-3dd6-bee3-d047eae29c73" ] } ], "mendeley" : { "formattedCitation" : "[7]", "plainTextFormattedCitation" : "[7]", "previouslyFormattedCitation" : "[4]" }, "properties" : { "noteIndex" : 0 }, "schema" : "https://github.com/citation-style-language/schema/raw/master/csl-citation.json" }</w:instrText>
      </w:r>
      <w:r w:rsidR="002C451C" w:rsidRPr="00A07A41">
        <w:rPr>
          <w:sz w:val="24"/>
          <w:szCs w:val="24"/>
          <w:lang w:val="en-US"/>
        </w:rPr>
        <w:fldChar w:fldCharType="separate"/>
      </w:r>
      <w:r w:rsidRPr="00FF5F7A">
        <w:rPr>
          <w:noProof/>
          <w:sz w:val="24"/>
          <w:szCs w:val="24"/>
          <w:lang w:val="en-US"/>
        </w:rPr>
        <w:t>[7]</w:t>
      </w:r>
      <w:r w:rsidR="002C451C" w:rsidRPr="00A07A41">
        <w:rPr>
          <w:sz w:val="24"/>
          <w:szCs w:val="24"/>
          <w:lang w:val="en-US"/>
        </w:rPr>
        <w:fldChar w:fldCharType="end"/>
      </w:r>
      <w:r w:rsidR="002C451C" w:rsidRPr="00A07A41">
        <w:rPr>
          <w:sz w:val="24"/>
          <w:szCs w:val="24"/>
          <w:lang w:val="en-US"/>
        </w:rPr>
        <w:t xml:space="preserve">. Furthermore, the introduction of bead-beating can significantly increase the yield of DNA of </w:t>
      </w:r>
      <w:proofErr w:type="spellStart"/>
      <w:r w:rsidR="002C451C" w:rsidRPr="00A07A41">
        <w:rPr>
          <w:sz w:val="24"/>
          <w:szCs w:val="24"/>
          <w:lang w:val="en-US"/>
        </w:rPr>
        <w:t>firmicutes</w:t>
      </w:r>
      <w:proofErr w:type="spellEnd"/>
      <w:r w:rsidR="002C451C" w:rsidRPr="00A07A41">
        <w:rPr>
          <w:sz w:val="24"/>
          <w:szCs w:val="24"/>
          <w:lang w:val="en-US"/>
        </w:rPr>
        <w:t xml:space="preserve"> and </w:t>
      </w:r>
      <w:proofErr w:type="spellStart"/>
      <w:r w:rsidR="002C451C" w:rsidRPr="00A07A41">
        <w:rPr>
          <w:sz w:val="24"/>
          <w:szCs w:val="24"/>
          <w:lang w:val="en-US"/>
        </w:rPr>
        <w:t>actinobacteria</w:t>
      </w:r>
      <w:proofErr w:type="spellEnd"/>
      <w:r w:rsidR="002C451C" w:rsidRPr="00A07A41">
        <w:rPr>
          <w:sz w:val="24"/>
          <w:szCs w:val="24"/>
          <w:lang w:val="en-US"/>
        </w:rPr>
        <w:t xml:space="preserve"> in the </w:t>
      </w:r>
      <w:proofErr w:type="spellStart"/>
      <w:r w:rsidR="002C451C" w:rsidRPr="00A07A41">
        <w:rPr>
          <w:sz w:val="24"/>
          <w:szCs w:val="24"/>
          <w:lang w:val="en-US"/>
        </w:rPr>
        <w:t>Mobio</w:t>
      </w:r>
      <w:proofErr w:type="spellEnd"/>
      <w:r w:rsidR="002C451C" w:rsidRPr="00A07A41">
        <w:rPr>
          <w:sz w:val="24"/>
          <w:szCs w:val="24"/>
          <w:lang w:val="en-US"/>
        </w:rPr>
        <w:t xml:space="preserve"> kit </w:t>
      </w:r>
      <w:r w:rsidR="002C451C" w:rsidRPr="00A07A41">
        <w:rPr>
          <w:sz w:val="24"/>
          <w:szCs w:val="24"/>
          <w:lang w:val="en-US"/>
        </w:rPr>
        <w:fldChar w:fldCharType="begin" w:fldLock="1"/>
      </w:r>
      <w:r>
        <w:rPr>
          <w:sz w:val="24"/>
          <w:szCs w:val="24"/>
          <w:lang w:val="en-US"/>
        </w:rPr>
        <w:instrText>ADDIN CSL_CITATION { "citationItems" : [ { "id" : "ITEM-1", "itemData" : { "DOI" : "10.1186/1475-2891-9-23", "ISSN" : "1475-2891", "PMID" : "20492702", "abstract" : "BACKGROUND The influence of diet on intestinal microflora has been investigated mainly using conventional microbiological approaches. Although these studies have advanced knowledge on human intestinal microflora, it is imperative that new methods are applied to facilitate scientific progress. Culture-independent molecular fingerprinting method of Polymerase Chain Reaction and Denaturing Gradient Gel Electrophoresis (PCR-DGGE) has been used to study microbial communities in a variety of environmental samples. However, these protocols must be optimized prior to their application in order to enhance the quality and accuracy of downstream analyses. In this study, the relative efficacy of four commercial DNA extraction kits (Mobio Ultra Clean(R) Fecal DNA Isolation Kit, M; QIAamp DNA Stool Mini Kit, Q; FastDNA SPIN Kit, FSp; FastDNA SPIN Kit for Soil, FSo) were evaluated. Further, PCR-DGGE technique was also assessed for its feasibility in detecting differences in human intestinal bacterial fingerprint profiles. METHOD Total DNA was extracted from varying weights of human fecal specimens using four different kits, followed by PCR amplification of bacterial 16S rRNA genes, and DGGE separation of the amplicons. RESULTS Regardless of kit, maximum DNA yield was obtained using 10 to 50 mg (wet wt) of fecal specimens and similar DGGE profiles were obtained. However, kits FSp and FSo extracted significantly larger amounts of DNA per g dry fecal specimens and produced more bands on their DGGE profiles than kits M and Q due to their use of bead-containing lysing matrix and vigorous shaking step. DGGE of 16S rRNA gene PCR products was suitable for capturing the profiles of human intestinal microbial community and enabled rapid comparative assessment of inter- and intra-subject differences. CONCLUSION We conclude that extraction kits that incorporated bead-containing lysing matrix and vigorous shaking produced high quality DNA from human fecal specimens (10 to 50 mg, wet wt) that can be resolved as bacterial community fingerprints using PCR-DGGE technique. Subsequently, PCR-DGGE technique can be applied for studying variations in human intestinal microbial communities.", "author" : [ { "dropping-particle" : "", "family" : "Ariefdjohan", "given" : "Merlin W", "non-dropping-particle" : "", "parse-names" : false, "suffix" : "" }, { "dropping-particle" : "", "family" : "Savaiano", "given" : "Dennis A", "non-dropping-particle" : "", "parse-names" : false, "suffix" : "" }, { "dropping-particle" : "", "family" : "Nakatsu", "given" : "Cindy H", "non-dropping-particle" : "", "parse-names" : false, "suffix" : "" } ], "container-title" : "Nutrition journal", "id" : "ITEM-1", "issue" : "1", "issued" : { "date-parts" : [ [ "2010", "5", "22" ] ] }, "page" : "23", "title" : "Comparison of DNA extraction kits for PCR-DGGE analysis of human intestinal microbial communities from fecal specimens.", "type" : "article-journal", "volume" : "9" }, "uris" : [ "http://www.mendeley.com/documents/?uuid=9bc80c52-c625-3dd6-bee3-d047eae29c73" ] }, { "id" : "ITEM-2", "itemData" : { "DOI" : "10.1186/s40168-015-0087-4", "ISSN" : "2049-2618", "PMID" : "26120470", "abstract" : "BACKGROUND Characterisation of the bacterial composition of the gut microbiota is increasingly carried out with a view to establish the role of different bacterial species in causation or prevention of disease. It is thus essential that the methods used to determine the microbial composition are robust. Here, several widely used molecular techniques were compared to establish the optimal methods to assess the bacterial composition in faecal samples from babies, before weaning. RESULTS The bacterial community profile detected in the faeces of infants is highly dependent on the methodology used. Bifidobacteria were the most abundant bacteria detected at 6 weeks in faeces from two initially breast-fed babies using fluorescent in situ hybridisation (FISH), in agreement with data from previous culture-based studies. Using the 16S rRNA gene sequencing approach, however, we found that the detection of bifidobacteria in particular crucially depended on the optimisation of the DNA extraction method, and the choice of primers used to amplify the V1-V3 regions of 16S rRNA genes prior to subsequent sequence analysis. Bifidobacteria were only well represented among amplified 16S rRNA gene sequences when mechanical disruption (bead-beating) procedures for DNA extraction were employed together with optimised \"universal\" PCR primers. These primers incorporate degenerate bases at positions where mismatches to bifidobacteria and other bacterial taxa occur. The use of a DNA extraction kit with no bead-beating step resulted in a complete absence of bifidobacteria in the sequence data, even when using the optimised primers. CONCLUSIONS This work emphasises the importance of sample processing methodology to downstream sequencing results and illustrates the value of employing multiple approaches for determining microbiota composition.", "author" : [ { "dropping-particle" : "", "family" : "Walker", "given" : "Alan W", "non-dropping-particle" : "", "parse-names" : false, "suffix" : "" }, { "dropping-particle" : "", "family" : "Martin", "given" : "Jennifer C", "non-dropping-particle" : "", "parse-names" : false, "suffix" : "" }, { "dropping-particle" : "", "family" : "Scott", "given" : "Paul", "non-dropping-particle" : "", "parse-names" : false, "suffix" : "" }, { "dropping-particle" : "", "family" : "Parkhill", "given" : "Julian", "non-dropping-particle" : "", "parse-names" : false, "suffix" : "" }, { "dropping-particle" : "", "family" : "Flint", "given" : "Harry J", "non-dropping-particle" : "", "parse-names" : false, "suffix" : "" }, { "dropping-particle" : "", "family" : "Scott", "given" : "Karen P", "non-dropping-particle" : "", "parse-names" : false, "suffix" : "" } ], "container-title" : "Microbiome", "id" : "ITEM-2", "issue" : "1", "issued" : { "date-parts" : [ [ "2015", "12", "22" ] ] }, "page" : "26", "title" : "16S rRNA gene-based profiling of the human infant gut microbiota is strongly influenced by sample processing and PCR primer choice.", "type" : "article-journal", "volume" : "3" }, "uris" : [ "http://www.mendeley.com/documents/?uuid=4bd7192f-b66f-3a66-8997-794efd0256f8" ] } ], "mendeley" : { "formattedCitation" : "[7,8]", "plainTextFormattedCitation" : "[7,8]", "previouslyFormattedCitation" : "[4,5]" }, "properties" : { "noteIndex" : 0 }, "schema" : "https://github.com/citation-style-language/schema/raw/master/csl-citation.json" }</w:instrText>
      </w:r>
      <w:r w:rsidR="002C451C" w:rsidRPr="00A07A41">
        <w:rPr>
          <w:sz w:val="24"/>
          <w:szCs w:val="24"/>
          <w:lang w:val="en-US"/>
        </w:rPr>
        <w:fldChar w:fldCharType="separate"/>
      </w:r>
      <w:r w:rsidRPr="00FF5F7A">
        <w:rPr>
          <w:noProof/>
          <w:sz w:val="24"/>
          <w:szCs w:val="24"/>
          <w:lang w:val="en-US"/>
        </w:rPr>
        <w:t>[7,8]</w:t>
      </w:r>
      <w:r w:rsidR="002C451C" w:rsidRPr="00A07A41">
        <w:rPr>
          <w:sz w:val="24"/>
          <w:szCs w:val="24"/>
          <w:lang w:val="en-US"/>
        </w:rPr>
        <w:fldChar w:fldCharType="end"/>
      </w:r>
      <w:r w:rsidR="002C451C" w:rsidRPr="00A07A41">
        <w:rPr>
          <w:sz w:val="24"/>
          <w:szCs w:val="24"/>
          <w:lang w:val="en-US"/>
        </w:rPr>
        <w:t xml:space="preserve">. However, too extensive </w:t>
      </w:r>
      <w:proofErr w:type="gramStart"/>
      <w:r w:rsidR="002C451C" w:rsidRPr="00A07A41">
        <w:rPr>
          <w:sz w:val="24"/>
          <w:szCs w:val="24"/>
          <w:lang w:val="en-US"/>
        </w:rPr>
        <w:t>bead-beating</w:t>
      </w:r>
      <w:proofErr w:type="gramEnd"/>
      <w:r w:rsidR="002C451C" w:rsidRPr="00A07A41">
        <w:rPr>
          <w:sz w:val="24"/>
          <w:szCs w:val="24"/>
          <w:lang w:val="en-US"/>
        </w:rPr>
        <w:t xml:space="preserve"> can also result in loss of DNA via DNA–shearing from easier to lyse bacteria like </w:t>
      </w:r>
      <w:proofErr w:type="spellStart"/>
      <w:r w:rsidR="002C451C" w:rsidRPr="00A07A41">
        <w:rPr>
          <w:sz w:val="24"/>
          <w:szCs w:val="24"/>
          <w:lang w:val="en-US"/>
        </w:rPr>
        <w:t>bacteroidetes</w:t>
      </w:r>
      <w:proofErr w:type="spellEnd"/>
      <w:r w:rsidR="002C451C" w:rsidRPr="00A07A41">
        <w:rPr>
          <w:sz w:val="24"/>
          <w:szCs w:val="24"/>
          <w:lang w:val="en-US"/>
        </w:rPr>
        <w:t xml:space="preserve"> and </w:t>
      </w:r>
      <w:proofErr w:type="spellStart"/>
      <w:r w:rsidR="002C451C" w:rsidRPr="00A07A41">
        <w:rPr>
          <w:sz w:val="24"/>
          <w:szCs w:val="24"/>
          <w:lang w:val="en-US"/>
        </w:rPr>
        <w:t>gammaproteobacteria</w:t>
      </w:r>
      <w:proofErr w:type="spellEnd"/>
      <w:r w:rsidR="002C451C" w:rsidRPr="00A07A41">
        <w:rPr>
          <w:sz w:val="24"/>
          <w:szCs w:val="24"/>
          <w:lang w:val="en-US"/>
        </w:rPr>
        <w:t xml:space="preserve">. To find an optimal balance we tested two different types of beads with the </w:t>
      </w:r>
      <w:proofErr w:type="spellStart"/>
      <w:r w:rsidR="002C451C" w:rsidRPr="00A07A41">
        <w:rPr>
          <w:sz w:val="24"/>
          <w:szCs w:val="24"/>
          <w:lang w:val="en-US"/>
        </w:rPr>
        <w:t>Mobio</w:t>
      </w:r>
      <w:proofErr w:type="spellEnd"/>
      <w:r w:rsidR="002C451C" w:rsidRPr="00A07A41">
        <w:rPr>
          <w:sz w:val="24"/>
          <w:szCs w:val="24"/>
          <w:lang w:val="en-US"/>
        </w:rPr>
        <w:t xml:space="preserve"> protocol (garnet beads and 0.1mm glass beads), at 3 different bead-beating speeds (4400, 5400 and 6400 </w:t>
      </w:r>
      <w:proofErr w:type="spellStart"/>
      <w:r w:rsidR="002C451C" w:rsidRPr="00A07A41">
        <w:rPr>
          <w:sz w:val="24"/>
          <w:szCs w:val="24"/>
          <w:lang w:val="en-US"/>
        </w:rPr>
        <w:t>r</w:t>
      </w:r>
      <w:r w:rsidR="002C451C">
        <w:rPr>
          <w:sz w:val="24"/>
          <w:szCs w:val="24"/>
          <w:lang w:val="en-US"/>
        </w:rPr>
        <w:t>elevations</w:t>
      </w:r>
      <w:proofErr w:type="spellEnd"/>
      <w:r w:rsidR="002C451C">
        <w:rPr>
          <w:sz w:val="24"/>
          <w:szCs w:val="24"/>
          <w:lang w:val="en-US"/>
        </w:rPr>
        <w:t xml:space="preserve"> </w:t>
      </w:r>
      <w:r w:rsidR="002C451C" w:rsidRPr="00A07A41">
        <w:rPr>
          <w:sz w:val="24"/>
          <w:szCs w:val="24"/>
          <w:lang w:val="en-US"/>
        </w:rPr>
        <w:t>p</w:t>
      </w:r>
      <w:r w:rsidR="002C451C">
        <w:rPr>
          <w:sz w:val="24"/>
          <w:szCs w:val="24"/>
          <w:lang w:val="en-US"/>
        </w:rPr>
        <w:t xml:space="preserve">er </w:t>
      </w:r>
      <w:r w:rsidR="002C451C" w:rsidRPr="00A07A41">
        <w:rPr>
          <w:sz w:val="24"/>
          <w:szCs w:val="24"/>
          <w:lang w:val="en-US"/>
        </w:rPr>
        <w:t>m</w:t>
      </w:r>
      <w:r w:rsidR="002C451C">
        <w:rPr>
          <w:sz w:val="24"/>
          <w:szCs w:val="24"/>
          <w:lang w:val="en-US"/>
        </w:rPr>
        <w:t>inute (rpm)</w:t>
      </w:r>
      <w:r w:rsidR="002C451C" w:rsidRPr="00A07A41">
        <w:rPr>
          <w:sz w:val="24"/>
          <w:szCs w:val="24"/>
          <w:lang w:val="en-US"/>
        </w:rPr>
        <w:t xml:space="preserve">) and two different bead-beating durations (2x 30 seconds or 4x 30 </w:t>
      </w:r>
      <w:r w:rsidR="002C451C" w:rsidRPr="00A07A41">
        <w:rPr>
          <w:sz w:val="24"/>
          <w:szCs w:val="24"/>
          <w:lang w:val="en-US"/>
        </w:rPr>
        <w:lastRenderedPageBreak/>
        <w:t>seconds with intervals of 30 seconds on ice)</w:t>
      </w:r>
      <w:r w:rsidR="002C451C">
        <w:rPr>
          <w:sz w:val="24"/>
          <w:szCs w:val="24"/>
          <w:lang w:val="en-US"/>
        </w:rPr>
        <w:t xml:space="preserve"> on a </w:t>
      </w:r>
      <w:proofErr w:type="spellStart"/>
      <w:r w:rsidR="002C451C">
        <w:rPr>
          <w:sz w:val="24"/>
          <w:szCs w:val="24"/>
          <w:lang w:val="en-US"/>
        </w:rPr>
        <w:t>MagNaLyser</w:t>
      </w:r>
      <w:proofErr w:type="spellEnd"/>
      <w:r w:rsidR="002C451C">
        <w:rPr>
          <w:sz w:val="24"/>
          <w:szCs w:val="24"/>
          <w:lang w:val="en-US"/>
        </w:rPr>
        <w:t xml:space="preserve"> instrument (Roche)</w:t>
      </w:r>
      <w:r w:rsidR="002C451C" w:rsidRPr="00A07A41">
        <w:rPr>
          <w:sz w:val="24"/>
          <w:szCs w:val="24"/>
          <w:lang w:val="en-US"/>
        </w:rPr>
        <w:t xml:space="preserve">. In addition, enzymatic </w:t>
      </w:r>
      <w:proofErr w:type="spellStart"/>
      <w:r w:rsidR="002C451C" w:rsidRPr="00A07A41">
        <w:rPr>
          <w:sz w:val="24"/>
          <w:szCs w:val="24"/>
          <w:lang w:val="en-US"/>
        </w:rPr>
        <w:t>lysis</w:t>
      </w:r>
      <w:proofErr w:type="spellEnd"/>
      <w:r w:rsidR="002C451C" w:rsidRPr="00A07A41">
        <w:rPr>
          <w:sz w:val="24"/>
          <w:szCs w:val="24"/>
          <w:lang w:val="en-US"/>
        </w:rPr>
        <w:t xml:space="preserve"> with </w:t>
      </w:r>
      <w:proofErr w:type="spellStart"/>
      <w:r w:rsidR="002C451C" w:rsidRPr="00A07A41">
        <w:rPr>
          <w:sz w:val="24"/>
          <w:szCs w:val="24"/>
          <w:lang w:val="en-US"/>
        </w:rPr>
        <w:t>mutanolysin</w:t>
      </w:r>
      <w:proofErr w:type="spellEnd"/>
      <w:r w:rsidR="002C451C" w:rsidRPr="00A07A41">
        <w:rPr>
          <w:sz w:val="24"/>
          <w:szCs w:val="24"/>
          <w:lang w:val="en-US"/>
        </w:rPr>
        <w:t xml:space="preserve"> for 60 minutes at 37°C was shown to help in breaking down gram-positive cells </w:t>
      </w:r>
      <w:r w:rsidR="002C451C" w:rsidRPr="00A07A41">
        <w:rPr>
          <w:sz w:val="24"/>
          <w:szCs w:val="24"/>
          <w:lang w:val="en-US"/>
        </w:rPr>
        <w:fldChar w:fldCharType="begin" w:fldLock="1"/>
      </w:r>
      <w:r>
        <w:rPr>
          <w:sz w:val="24"/>
          <w:szCs w:val="24"/>
          <w:lang w:val="en-US"/>
        </w:rPr>
        <w:instrText>ADDIN CSL_CITATION { "citationItems" : [ { "id" : "ITEM-1", "itemData" : { "DOI" : "10.1371/journal.pone.0033865", "ISSN" : "1932-6203", "PMID" : "22457796", "abstract" : "BACKGROUND: DNA extraction is an essential step in all cultivation-independent approaches to characterize microbial diversity, including that associated with the human body. A fundamental challenge in using these approaches has been to isolate DNA that is representative of the microbial community sampled.\n\nMETHODOLOGY/PRINCIPAL FINDINGS: In this study, we statistically evaluated six commonly used DNA extraction procedures using eleven human-associated bacterial species and a mock community that contained equal numbers of those eleven species. These methods were compared on the basis of DNA yield, DNA shearing, reproducibility, and most importantly representation of microbial diversity. The analysis of 16S rRNA gene sequences from a mock community showed that the observed species abundances were significantly different from the expected species abundances for all six DNA extraction methods used.\n\nCONCLUSIONS/SIGNIFICANCE: Protocols that included bead beating and/or mutanolysin produced significantly better bacterial community structure representation than methods without both of them. The reproducibility of all six methods was similar, and results from different experimenters and different times were in good agreement. Based on the evaluations done it appears that DNA extraction procedures for bacterial community analysis of human associated samples should include bead beating and/or mutanolysin to effectively lyse cells.", "author" : [ { "dropping-particle" : "", "family" : "Yuan", "given" : "Sanqing", "non-dropping-particle" : "", "parse-names" : false, "suffix" : "" }, { "dropping-particle" : "", "family" : "Cohen", "given" : "Dora B", "non-dropping-particle" : "", "parse-names" : false, "suffix" : "" }, { "dropping-particle" : "", "family" : "Ravel", "given" : "Jacques", "non-dropping-particle" : "", "parse-names" : false, "suffix" : "" }, { "dropping-particle" : "", "family" : "Abdo", "given" : "Zaid", "non-dropping-particle" : "", "parse-names" : false, "suffix" : "" }, { "dropping-particle" : "", "family" : "Forney", "given" : "Larry J", "non-dropping-particle" : "", "parse-names" : false, "suffix" : "" } ], "container-title" : "PloS one", "editor" : [ { "dropping-particle" : "", "family" : "Gilbert", "given" : "Jack Anthony", "non-dropping-particle" : "", "parse-names" : false, "suffix" : "" } ], "id" : "ITEM-1", "issue" : "3", "issued" : { "date-parts" : [ [ "2012", "1" ] ] }, "page" : "e33865", "publisher" : "Public Library of Science", "title" : "Evaluation of methods for the extraction and purification of DNA from the human microbiome.", "type" : "article-journal", "volume" : "7" }, "uris" : [ "http://www.mendeley.com/documents/?uuid=51055c40-a8eb-497a-be35-194e92e214c3" ] } ], "mendeley" : { "formattedCitation" : "[9]", "plainTextFormattedCitation" : "[9]", "previouslyFormattedCitation" : "[6]" }, "properties" : { "noteIndex" : 0 }, "schema" : "https://github.com/citation-style-language/schema/raw/master/csl-citation.json" }</w:instrText>
      </w:r>
      <w:r w:rsidR="002C451C" w:rsidRPr="00A07A41">
        <w:rPr>
          <w:sz w:val="24"/>
          <w:szCs w:val="24"/>
          <w:lang w:val="en-US"/>
        </w:rPr>
        <w:fldChar w:fldCharType="separate"/>
      </w:r>
      <w:r w:rsidRPr="00FF5F7A">
        <w:rPr>
          <w:noProof/>
          <w:sz w:val="24"/>
          <w:szCs w:val="24"/>
          <w:lang w:val="en-US"/>
        </w:rPr>
        <w:t>[9]</w:t>
      </w:r>
      <w:r w:rsidR="002C451C" w:rsidRPr="00A07A41">
        <w:rPr>
          <w:sz w:val="24"/>
          <w:szCs w:val="24"/>
          <w:lang w:val="en-US"/>
        </w:rPr>
        <w:fldChar w:fldCharType="end"/>
      </w:r>
      <w:r w:rsidR="002C451C" w:rsidRPr="00A07A41">
        <w:rPr>
          <w:sz w:val="24"/>
          <w:szCs w:val="24"/>
          <w:lang w:val="en-US"/>
        </w:rPr>
        <w:t xml:space="preserve">, therefore we also introduced an enzymatic </w:t>
      </w:r>
      <w:proofErr w:type="spellStart"/>
      <w:r w:rsidR="002C451C" w:rsidRPr="00A07A41">
        <w:rPr>
          <w:sz w:val="24"/>
          <w:szCs w:val="24"/>
          <w:lang w:val="en-US"/>
        </w:rPr>
        <w:t>lysis</w:t>
      </w:r>
      <w:proofErr w:type="spellEnd"/>
      <w:r w:rsidR="002C451C" w:rsidRPr="00A07A41">
        <w:rPr>
          <w:sz w:val="24"/>
          <w:szCs w:val="24"/>
          <w:lang w:val="en-US"/>
        </w:rPr>
        <w:t xml:space="preserve"> step before the bead-beating with glass beads. The </w:t>
      </w:r>
      <w:proofErr w:type="spellStart"/>
      <w:r w:rsidR="002C451C" w:rsidRPr="00A07A41">
        <w:rPr>
          <w:sz w:val="24"/>
          <w:szCs w:val="24"/>
          <w:lang w:val="en-US"/>
        </w:rPr>
        <w:t>Mobio</w:t>
      </w:r>
      <w:proofErr w:type="spellEnd"/>
      <w:r w:rsidR="002C451C" w:rsidRPr="00A07A41">
        <w:rPr>
          <w:sz w:val="24"/>
          <w:szCs w:val="24"/>
          <w:lang w:val="en-US"/>
        </w:rPr>
        <w:t xml:space="preserve"> protocols were compared with the MP Bio protocol</w:t>
      </w:r>
      <w:r w:rsidR="002C451C">
        <w:rPr>
          <w:sz w:val="24"/>
          <w:szCs w:val="24"/>
          <w:lang w:val="en-US"/>
        </w:rPr>
        <w:t xml:space="preserve"> (used according to the manufacturer’s instructions)</w:t>
      </w:r>
      <w:r w:rsidR="002C451C" w:rsidRPr="00A07A41">
        <w:rPr>
          <w:sz w:val="24"/>
          <w:szCs w:val="24"/>
          <w:lang w:val="en-US"/>
        </w:rPr>
        <w:t xml:space="preserve"> in terms o</w:t>
      </w:r>
      <w:r w:rsidR="002C451C">
        <w:rPr>
          <w:sz w:val="24"/>
          <w:szCs w:val="24"/>
          <w:lang w:val="en-US"/>
        </w:rPr>
        <w:t xml:space="preserve">f DNA yield, DNA quality and 16S </w:t>
      </w:r>
      <w:proofErr w:type="spellStart"/>
      <w:r w:rsidR="002C451C">
        <w:rPr>
          <w:sz w:val="24"/>
          <w:szCs w:val="24"/>
          <w:lang w:val="en-US"/>
        </w:rPr>
        <w:t>rD</w:t>
      </w:r>
      <w:r w:rsidR="002C451C" w:rsidRPr="00A07A41">
        <w:rPr>
          <w:sz w:val="24"/>
          <w:szCs w:val="24"/>
          <w:lang w:val="en-US"/>
        </w:rPr>
        <w:t>NA</w:t>
      </w:r>
      <w:proofErr w:type="spellEnd"/>
      <w:r w:rsidR="002C451C" w:rsidRPr="00A07A41">
        <w:rPr>
          <w:sz w:val="24"/>
          <w:szCs w:val="24"/>
          <w:lang w:val="en-US"/>
        </w:rPr>
        <w:t xml:space="preserve"> amplification. </w:t>
      </w:r>
    </w:p>
    <w:p w14:paraId="3F301F1F" w14:textId="77777777" w:rsidR="002C451C" w:rsidRPr="00A07A41" w:rsidRDefault="002C451C" w:rsidP="002C451C">
      <w:pPr>
        <w:spacing w:line="480" w:lineRule="auto"/>
        <w:rPr>
          <w:sz w:val="24"/>
          <w:szCs w:val="24"/>
          <w:lang w:val="en-US"/>
        </w:rPr>
      </w:pPr>
      <w:r w:rsidRPr="00A07A41">
        <w:rPr>
          <w:sz w:val="24"/>
          <w:szCs w:val="24"/>
          <w:lang w:val="en-US"/>
        </w:rPr>
        <w:t xml:space="preserve">DNA quantity was obtained with the </w:t>
      </w:r>
      <w:proofErr w:type="spellStart"/>
      <w:r w:rsidRPr="00A07A41">
        <w:rPr>
          <w:sz w:val="24"/>
          <w:szCs w:val="24"/>
          <w:lang w:val="en-US"/>
        </w:rPr>
        <w:t>Qubit</w:t>
      </w:r>
      <w:proofErr w:type="spellEnd"/>
      <w:r w:rsidRPr="00A07A41">
        <w:rPr>
          <w:sz w:val="24"/>
          <w:szCs w:val="24"/>
          <w:lang w:val="en-US"/>
        </w:rPr>
        <w:t xml:space="preserve"> platform high sensitivity protocol.</w:t>
      </w:r>
      <w:r>
        <w:rPr>
          <w:sz w:val="24"/>
          <w:szCs w:val="24"/>
          <w:lang w:val="en-US"/>
        </w:rPr>
        <w:t xml:space="preserve"> </w:t>
      </w:r>
      <w:r w:rsidRPr="00A07A41">
        <w:rPr>
          <w:sz w:val="24"/>
          <w:szCs w:val="24"/>
          <w:lang w:val="en-US"/>
        </w:rPr>
        <w:t xml:space="preserve">Generally, a 2-fold higher DNA-yield was achieved with the MP Bio kit compared to the </w:t>
      </w:r>
      <w:proofErr w:type="spellStart"/>
      <w:r w:rsidRPr="00A07A41">
        <w:rPr>
          <w:sz w:val="24"/>
          <w:szCs w:val="24"/>
          <w:lang w:val="en-US"/>
        </w:rPr>
        <w:t>Mobio</w:t>
      </w:r>
      <w:proofErr w:type="spellEnd"/>
      <w:r w:rsidRPr="00A07A41">
        <w:rPr>
          <w:sz w:val="24"/>
          <w:szCs w:val="24"/>
          <w:lang w:val="en-US"/>
        </w:rPr>
        <w:t xml:space="preserve"> kit at all bead-beating speeds and times</w:t>
      </w:r>
      <w:r w:rsidR="00FD04FB">
        <w:rPr>
          <w:sz w:val="24"/>
          <w:szCs w:val="24"/>
          <w:lang w:val="en-US"/>
        </w:rPr>
        <w:t xml:space="preserve"> (Supplementary table 1</w:t>
      </w:r>
      <w:r w:rsidRPr="00A07A41">
        <w:rPr>
          <w:sz w:val="24"/>
          <w:szCs w:val="24"/>
          <w:lang w:val="en-US"/>
        </w:rPr>
        <w:t xml:space="preserve">). However, the DNA on 1% </w:t>
      </w:r>
      <w:proofErr w:type="spellStart"/>
      <w:r w:rsidRPr="00A07A41">
        <w:rPr>
          <w:sz w:val="24"/>
          <w:szCs w:val="24"/>
          <w:lang w:val="en-US"/>
        </w:rPr>
        <w:t>agarose</w:t>
      </w:r>
      <w:proofErr w:type="spellEnd"/>
      <w:r w:rsidRPr="00A07A41">
        <w:rPr>
          <w:sz w:val="24"/>
          <w:szCs w:val="24"/>
          <w:lang w:val="en-US"/>
        </w:rPr>
        <w:t xml:space="preserve"> gel resulted in DNA-shearing for the MP Bio kit</w:t>
      </w:r>
      <w:r>
        <w:rPr>
          <w:sz w:val="24"/>
          <w:szCs w:val="24"/>
          <w:lang w:val="en-US"/>
        </w:rPr>
        <w:t xml:space="preserve"> compared to the </w:t>
      </w:r>
      <w:proofErr w:type="spellStart"/>
      <w:r>
        <w:rPr>
          <w:sz w:val="24"/>
          <w:szCs w:val="24"/>
          <w:lang w:val="en-US"/>
        </w:rPr>
        <w:t>Mobio</w:t>
      </w:r>
      <w:proofErr w:type="spellEnd"/>
      <w:r>
        <w:rPr>
          <w:sz w:val="24"/>
          <w:szCs w:val="24"/>
          <w:lang w:val="en-US"/>
        </w:rPr>
        <w:t xml:space="preserve"> kit</w:t>
      </w:r>
      <w:r w:rsidRPr="00A07A41">
        <w:rPr>
          <w:sz w:val="24"/>
          <w:szCs w:val="24"/>
          <w:lang w:val="en-US"/>
        </w:rPr>
        <w:t>. Th</w:t>
      </w:r>
      <w:r>
        <w:rPr>
          <w:sz w:val="24"/>
          <w:szCs w:val="24"/>
          <w:lang w:val="en-US"/>
        </w:rPr>
        <w:t xml:space="preserve">e </w:t>
      </w:r>
      <w:proofErr w:type="spellStart"/>
      <w:r>
        <w:rPr>
          <w:sz w:val="24"/>
          <w:szCs w:val="24"/>
          <w:lang w:val="en-US"/>
        </w:rPr>
        <w:t>Mob</w:t>
      </w:r>
      <w:r w:rsidRPr="00A07A41">
        <w:rPr>
          <w:sz w:val="24"/>
          <w:szCs w:val="24"/>
          <w:lang w:val="en-US"/>
        </w:rPr>
        <w:t>io</w:t>
      </w:r>
      <w:proofErr w:type="spellEnd"/>
      <w:r>
        <w:rPr>
          <w:sz w:val="24"/>
          <w:szCs w:val="24"/>
          <w:lang w:val="en-US"/>
        </w:rPr>
        <w:t xml:space="preserve"> kit showed DNA of high molecular weight</w:t>
      </w:r>
      <w:r w:rsidRPr="00A07A41">
        <w:rPr>
          <w:sz w:val="24"/>
          <w:szCs w:val="24"/>
          <w:lang w:val="en-US"/>
        </w:rPr>
        <w:t xml:space="preserve">. Higher </w:t>
      </w:r>
      <w:r>
        <w:rPr>
          <w:sz w:val="24"/>
          <w:szCs w:val="24"/>
          <w:lang w:val="en-US"/>
        </w:rPr>
        <w:t xml:space="preserve">bead-beating </w:t>
      </w:r>
      <w:r w:rsidRPr="00A07A41">
        <w:rPr>
          <w:sz w:val="24"/>
          <w:szCs w:val="24"/>
          <w:lang w:val="en-US"/>
        </w:rPr>
        <w:t xml:space="preserve">speeds and longer durations showed some decrease in DNA </w:t>
      </w:r>
      <w:proofErr w:type="gramStart"/>
      <w:r w:rsidRPr="00A07A41">
        <w:rPr>
          <w:sz w:val="24"/>
          <w:szCs w:val="24"/>
          <w:lang w:val="en-US"/>
        </w:rPr>
        <w:t>quality,</w:t>
      </w:r>
      <w:proofErr w:type="gramEnd"/>
      <w:r w:rsidRPr="00A07A41">
        <w:rPr>
          <w:sz w:val="24"/>
          <w:szCs w:val="24"/>
          <w:lang w:val="en-US"/>
        </w:rPr>
        <w:t xml:space="preserve"> however, the average DNA size was still above 4</w:t>
      </w:r>
      <w:r w:rsidR="00FD04FB">
        <w:rPr>
          <w:sz w:val="24"/>
          <w:szCs w:val="24"/>
          <w:lang w:val="en-US"/>
        </w:rPr>
        <w:t xml:space="preserve">000 </w:t>
      </w:r>
      <w:proofErr w:type="spellStart"/>
      <w:r w:rsidR="00FD04FB">
        <w:rPr>
          <w:sz w:val="24"/>
          <w:szCs w:val="24"/>
          <w:lang w:val="en-US"/>
        </w:rPr>
        <w:t>bp</w:t>
      </w:r>
      <w:proofErr w:type="spellEnd"/>
      <w:r w:rsidR="00FD04FB">
        <w:rPr>
          <w:sz w:val="24"/>
          <w:szCs w:val="24"/>
          <w:lang w:val="en-US"/>
        </w:rPr>
        <w:t xml:space="preserve"> at 6400 rpm (Supplementary</w:t>
      </w:r>
      <w:r w:rsidRPr="00A07A41">
        <w:rPr>
          <w:sz w:val="24"/>
          <w:szCs w:val="24"/>
          <w:lang w:val="en-US"/>
        </w:rPr>
        <w:t xml:space="preserve"> Figure 1A). Furthermor</w:t>
      </w:r>
      <w:r>
        <w:rPr>
          <w:sz w:val="24"/>
          <w:szCs w:val="24"/>
          <w:lang w:val="en-US"/>
        </w:rPr>
        <w:t xml:space="preserve">e, with </w:t>
      </w:r>
      <w:proofErr w:type="spellStart"/>
      <w:r>
        <w:rPr>
          <w:sz w:val="24"/>
          <w:szCs w:val="24"/>
          <w:lang w:val="en-US"/>
        </w:rPr>
        <w:t>qPCR</w:t>
      </w:r>
      <w:proofErr w:type="spellEnd"/>
      <w:r>
        <w:rPr>
          <w:sz w:val="24"/>
          <w:szCs w:val="24"/>
          <w:lang w:val="en-US"/>
        </w:rPr>
        <w:t xml:space="preserve"> relatively more 16S </w:t>
      </w:r>
      <w:proofErr w:type="spellStart"/>
      <w:r>
        <w:rPr>
          <w:sz w:val="24"/>
          <w:szCs w:val="24"/>
          <w:lang w:val="en-US"/>
        </w:rPr>
        <w:t>rD</w:t>
      </w:r>
      <w:r w:rsidRPr="00A07A41">
        <w:rPr>
          <w:sz w:val="24"/>
          <w:szCs w:val="24"/>
          <w:lang w:val="en-US"/>
        </w:rPr>
        <w:t>NA</w:t>
      </w:r>
      <w:proofErr w:type="spellEnd"/>
      <w:r w:rsidRPr="00A07A41">
        <w:rPr>
          <w:sz w:val="24"/>
          <w:szCs w:val="24"/>
          <w:lang w:val="en-US"/>
        </w:rPr>
        <w:t xml:space="preserve"> amplification per </w:t>
      </w:r>
      <w:proofErr w:type="spellStart"/>
      <w:r w:rsidRPr="00A07A41">
        <w:rPr>
          <w:sz w:val="24"/>
          <w:szCs w:val="24"/>
          <w:lang w:val="en-US"/>
        </w:rPr>
        <w:t>ng</w:t>
      </w:r>
      <w:proofErr w:type="spellEnd"/>
      <w:r w:rsidRPr="00A07A41">
        <w:rPr>
          <w:sz w:val="24"/>
          <w:szCs w:val="24"/>
          <w:lang w:val="en-US"/>
        </w:rPr>
        <w:t xml:space="preserve"> extracted DNA was seen with the </w:t>
      </w:r>
      <w:proofErr w:type="spellStart"/>
      <w:r w:rsidRPr="00A07A41">
        <w:rPr>
          <w:sz w:val="24"/>
          <w:szCs w:val="24"/>
          <w:lang w:val="en-US"/>
        </w:rPr>
        <w:t>Mobio</w:t>
      </w:r>
      <w:proofErr w:type="spellEnd"/>
      <w:r w:rsidRPr="00A07A41">
        <w:rPr>
          <w:sz w:val="24"/>
          <w:szCs w:val="24"/>
          <w:lang w:val="en-US"/>
        </w:rPr>
        <w:t xml:space="preserve"> kit compared to the MP Bio kit</w:t>
      </w:r>
      <w:r>
        <w:rPr>
          <w:sz w:val="24"/>
          <w:szCs w:val="24"/>
          <w:lang w:val="en-US"/>
        </w:rPr>
        <w:t xml:space="preserve"> for </w:t>
      </w:r>
      <w:proofErr w:type="spellStart"/>
      <w:r>
        <w:rPr>
          <w:sz w:val="24"/>
          <w:szCs w:val="24"/>
          <w:lang w:val="en-US"/>
        </w:rPr>
        <w:t>Gammaproteobacteria</w:t>
      </w:r>
      <w:proofErr w:type="spellEnd"/>
      <w:r>
        <w:rPr>
          <w:sz w:val="24"/>
          <w:szCs w:val="24"/>
          <w:lang w:val="en-US"/>
        </w:rPr>
        <w:t xml:space="preserve"> and </w:t>
      </w:r>
      <w:proofErr w:type="spellStart"/>
      <w:r>
        <w:rPr>
          <w:sz w:val="24"/>
          <w:szCs w:val="24"/>
          <w:lang w:val="en-US"/>
        </w:rPr>
        <w:t>B</w:t>
      </w:r>
      <w:r w:rsidRPr="00A07A41">
        <w:rPr>
          <w:sz w:val="24"/>
          <w:szCs w:val="24"/>
          <w:lang w:val="en-US"/>
        </w:rPr>
        <w:t>acteroidete</w:t>
      </w:r>
      <w:r>
        <w:rPr>
          <w:sz w:val="24"/>
          <w:szCs w:val="24"/>
          <w:lang w:val="en-US"/>
        </w:rPr>
        <w:t>s</w:t>
      </w:r>
      <w:proofErr w:type="spellEnd"/>
      <w:r>
        <w:rPr>
          <w:sz w:val="24"/>
          <w:szCs w:val="24"/>
          <w:lang w:val="en-US"/>
        </w:rPr>
        <w:t xml:space="preserve">, however, total amounts of 16S </w:t>
      </w:r>
      <w:proofErr w:type="spellStart"/>
      <w:r>
        <w:rPr>
          <w:sz w:val="24"/>
          <w:szCs w:val="24"/>
          <w:lang w:val="en-US"/>
        </w:rPr>
        <w:t>rD</w:t>
      </w:r>
      <w:r w:rsidRPr="00A07A41">
        <w:rPr>
          <w:sz w:val="24"/>
          <w:szCs w:val="24"/>
          <w:lang w:val="en-US"/>
        </w:rPr>
        <w:t>NA</w:t>
      </w:r>
      <w:proofErr w:type="spellEnd"/>
      <w:r w:rsidRPr="00A07A41">
        <w:rPr>
          <w:sz w:val="24"/>
          <w:szCs w:val="24"/>
          <w:lang w:val="en-US"/>
        </w:rPr>
        <w:t xml:space="preserve"> amplification were similar</w:t>
      </w:r>
      <w:r w:rsidR="00FD04FB">
        <w:rPr>
          <w:sz w:val="24"/>
          <w:szCs w:val="24"/>
          <w:lang w:val="en-US"/>
        </w:rPr>
        <w:t xml:space="preserve"> (Supplementary</w:t>
      </w:r>
      <w:r w:rsidRPr="00A07A41">
        <w:rPr>
          <w:sz w:val="24"/>
          <w:szCs w:val="24"/>
          <w:lang w:val="en-US"/>
        </w:rPr>
        <w:t xml:space="preserve"> figure 1B). Based on these results we selected the </w:t>
      </w:r>
      <w:proofErr w:type="spellStart"/>
      <w:r w:rsidRPr="00A07A41">
        <w:rPr>
          <w:sz w:val="24"/>
          <w:szCs w:val="24"/>
          <w:lang w:val="en-US"/>
        </w:rPr>
        <w:t>Mobio</w:t>
      </w:r>
      <w:proofErr w:type="spellEnd"/>
      <w:r w:rsidRPr="00A07A41">
        <w:rPr>
          <w:sz w:val="24"/>
          <w:szCs w:val="24"/>
          <w:lang w:val="en-US"/>
        </w:rPr>
        <w:t xml:space="preserve"> kit at the highest bead-beating speed. Next we tested different beads, different bead-beating times and speeds in the </w:t>
      </w:r>
      <w:proofErr w:type="spellStart"/>
      <w:r w:rsidRPr="00A07A41">
        <w:rPr>
          <w:sz w:val="24"/>
          <w:szCs w:val="24"/>
          <w:lang w:val="en-US"/>
        </w:rPr>
        <w:t>Mobio</w:t>
      </w:r>
      <w:proofErr w:type="spellEnd"/>
      <w:r w:rsidRPr="00A07A41">
        <w:rPr>
          <w:sz w:val="24"/>
          <w:szCs w:val="24"/>
          <w:lang w:val="en-US"/>
        </w:rPr>
        <w:t xml:space="preserve"> protocol. The glass beads were combined with </w:t>
      </w:r>
      <w:proofErr w:type="spellStart"/>
      <w:r w:rsidRPr="00A07A41">
        <w:rPr>
          <w:sz w:val="24"/>
          <w:szCs w:val="24"/>
          <w:lang w:val="en-US"/>
        </w:rPr>
        <w:t>mutanolysin</w:t>
      </w:r>
      <w:proofErr w:type="spellEnd"/>
      <w:r w:rsidRPr="00A07A41">
        <w:rPr>
          <w:sz w:val="24"/>
          <w:szCs w:val="24"/>
          <w:lang w:val="en-US"/>
        </w:rPr>
        <w:t xml:space="preserve"> treatment before </w:t>
      </w:r>
      <w:proofErr w:type="gramStart"/>
      <w:r w:rsidRPr="00A07A41">
        <w:rPr>
          <w:sz w:val="24"/>
          <w:szCs w:val="24"/>
          <w:lang w:val="en-US"/>
        </w:rPr>
        <w:t>bead-beating</w:t>
      </w:r>
      <w:proofErr w:type="gramEnd"/>
      <w:r w:rsidRPr="00A07A41">
        <w:rPr>
          <w:sz w:val="24"/>
          <w:szCs w:val="24"/>
          <w:lang w:val="en-US"/>
        </w:rPr>
        <w:t>. First of all, for both glass beads and garnet beads, increasing be</w:t>
      </w:r>
      <w:r>
        <w:rPr>
          <w:sz w:val="24"/>
          <w:szCs w:val="24"/>
          <w:lang w:val="en-US"/>
        </w:rPr>
        <w:t xml:space="preserve">ad-beating speeds yielded more </w:t>
      </w:r>
      <w:proofErr w:type="spellStart"/>
      <w:r>
        <w:rPr>
          <w:sz w:val="24"/>
          <w:szCs w:val="24"/>
          <w:lang w:val="en-US"/>
        </w:rPr>
        <w:t>F</w:t>
      </w:r>
      <w:r w:rsidRPr="00A07A41">
        <w:rPr>
          <w:sz w:val="24"/>
          <w:szCs w:val="24"/>
          <w:lang w:val="en-US"/>
        </w:rPr>
        <w:t>irmicut</w:t>
      </w:r>
      <w:r>
        <w:rPr>
          <w:sz w:val="24"/>
          <w:szCs w:val="24"/>
          <w:lang w:val="en-US"/>
        </w:rPr>
        <w:t>es</w:t>
      </w:r>
      <w:proofErr w:type="spellEnd"/>
      <w:r>
        <w:rPr>
          <w:sz w:val="24"/>
          <w:szCs w:val="24"/>
          <w:lang w:val="en-US"/>
        </w:rPr>
        <w:t xml:space="preserve"> without significant loss of </w:t>
      </w:r>
      <w:proofErr w:type="spellStart"/>
      <w:r>
        <w:rPr>
          <w:sz w:val="24"/>
          <w:szCs w:val="24"/>
          <w:lang w:val="en-US"/>
        </w:rPr>
        <w:t>Bacteroidetes</w:t>
      </w:r>
      <w:proofErr w:type="spellEnd"/>
      <w:r>
        <w:rPr>
          <w:sz w:val="24"/>
          <w:szCs w:val="24"/>
          <w:lang w:val="en-US"/>
        </w:rPr>
        <w:t xml:space="preserve"> or </w:t>
      </w:r>
      <w:proofErr w:type="spellStart"/>
      <w:r>
        <w:rPr>
          <w:sz w:val="24"/>
          <w:szCs w:val="24"/>
          <w:lang w:val="en-US"/>
        </w:rPr>
        <w:t>G</w:t>
      </w:r>
      <w:r w:rsidRPr="00A07A41">
        <w:rPr>
          <w:sz w:val="24"/>
          <w:szCs w:val="24"/>
          <w:lang w:val="en-US"/>
        </w:rPr>
        <w:t>ammaproteobacteria</w:t>
      </w:r>
      <w:proofErr w:type="spellEnd"/>
      <w:r w:rsidRPr="00A07A41">
        <w:rPr>
          <w:sz w:val="24"/>
          <w:szCs w:val="24"/>
          <w:lang w:val="en-US"/>
        </w:rPr>
        <w:t>, but bead-beating for 2x 30 seconds was found to b</w:t>
      </w:r>
      <w:r>
        <w:rPr>
          <w:sz w:val="24"/>
          <w:szCs w:val="24"/>
          <w:lang w:val="en-US"/>
        </w:rPr>
        <w:t xml:space="preserve">e better in retaining </w:t>
      </w:r>
      <w:proofErr w:type="spellStart"/>
      <w:r>
        <w:rPr>
          <w:sz w:val="24"/>
          <w:szCs w:val="24"/>
          <w:lang w:val="en-US"/>
        </w:rPr>
        <w:t>G</w:t>
      </w:r>
      <w:r w:rsidRPr="00A07A41">
        <w:rPr>
          <w:sz w:val="24"/>
          <w:szCs w:val="24"/>
          <w:lang w:val="en-US"/>
        </w:rPr>
        <w:t>ammaproteobacterial</w:t>
      </w:r>
      <w:proofErr w:type="spellEnd"/>
      <w:r w:rsidRPr="00A07A41">
        <w:rPr>
          <w:sz w:val="24"/>
          <w:szCs w:val="24"/>
          <w:lang w:val="en-US"/>
        </w:rPr>
        <w:t xml:space="preserve"> DNA</w:t>
      </w:r>
      <w:r>
        <w:rPr>
          <w:sz w:val="24"/>
          <w:szCs w:val="24"/>
          <w:lang w:val="en-US"/>
        </w:rPr>
        <w:t xml:space="preserve"> compared to 4x30 seconds</w:t>
      </w:r>
      <w:r w:rsidRPr="00A07A41">
        <w:rPr>
          <w:sz w:val="24"/>
          <w:szCs w:val="24"/>
          <w:lang w:val="en-US"/>
        </w:rPr>
        <w:t>, especiall</w:t>
      </w:r>
      <w:r w:rsidR="00FD04FB">
        <w:rPr>
          <w:sz w:val="24"/>
          <w:szCs w:val="24"/>
          <w:lang w:val="en-US"/>
        </w:rPr>
        <w:t>y with glass beads (Supplementary</w:t>
      </w:r>
      <w:r w:rsidRPr="00A07A41">
        <w:rPr>
          <w:sz w:val="24"/>
          <w:szCs w:val="24"/>
          <w:lang w:val="en-US"/>
        </w:rPr>
        <w:t xml:space="preserve"> figure 1C). The use of glass beads with </w:t>
      </w:r>
      <w:proofErr w:type="spellStart"/>
      <w:r w:rsidRPr="00A07A41">
        <w:rPr>
          <w:sz w:val="24"/>
          <w:szCs w:val="24"/>
          <w:lang w:val="en-US"/>
        </w:rPr>
        <w:t>mutanolysin</w:t>
      </w:r>
      <w:proofErr w:type="spellEnd"/>
      <w:r w:rsidRPr="00A07A41">
        <w:rPr>
          <w:sz w:val="24"/>
          <w:szCs w:val="24"/>
          <w:lang w:val="en-US"/>
        </w:rPr>
        <w:t xml:space="preserve"> showed similar DNA yield and quality compared to garnet beads (data not shown), however, there was </w:t>
      </w:r>
      <w:r w:rsidRPr="00A07A41">
        <w:rPr>
          <w:sz w:val="24"/>
          <w:szCs w:val="24"/>
          <w:lang w:val="en-US"/>
        </w:rPr>
        <w:lastRenderedPageBreak/>
        <w:t xml:space="preserve">an increase in detection of </w:t>
      </w:r>
      <w:proofErr w:type="spellStart"/>
      <w:r>
        <w:rPr>
          <w:sz w:val="24"/>
          <w:szCs w:val="24"/>
          <w:lang w:val="en-US"/>
        </w:rPr>
        <w:t>G</w:t>
      </w:r>
      <w:r w:rsidRPr="00A07A41">
        <w:rPr>
          <w:sz w:val="24"/>
          <w:szCs w:val="24"/>
          <w:lang w:val="en-US"/>
        </w:rPr>
        <w:t>ammaproteobacteria</w:t>
      </w:r>
      <w:proofErr w:type="spellEnd"/>
      <w:r w:rsidRPr="00A07A41">
        <w:rPr>
          <w:sz w:val="24"/>
          <w:szCs w:val="24"/>
          <w:lang w:val="en-US"/>
        </w:rPr>
        <w:t>,</w:t>
      </w:r>
      <w:r>
        <w:rPr>
          <w:sz w:val="24"/>
          <w:szCs w:val="24"/>
          <w:lang w:val="en-US"/>
        </w:rPr>
        <w:t xml:space="preserve"> </w:t>
      </w:r>
      <w:proofErr w:type="spellStart"/>
      <w:r>
        <w:rPr>
          <w:sz w:val="24"/>
          <w:szCs w:val="24"/>
          <w:lang w:val="en-US"/>
        </w:rPr>
        <w:t>Firmicutes</w:t>
      </w:r>
      <w:proofErr w:type="spellEnd"/>
      <w:r>
        <w:rPr>
          <w:sz w:val="24"/>
          <w:szCs w:val="24"/>
          <w:lang w:val="en-US"/>
        </w:rPr>
        <w:t xml:space="preserve"> and </w:t>
      </w:r>
      <w:proofErr w:type="spellStart"/>
      <w:r>
        <w:rPr>
          <w:sz w:val="24"/>
          <w:szCs w:val="24"/>
          <w:lang w:val="en-US"/>
        </w:rPr>
        <w:t>A</w:t>
      </w:r>
      <w:r w:rsidRPr="00A07A41">
        <w:rPr>
          <w:sz w:val="24"/>
          <w:szCs w:val="24"/>
          <w:lang w:val="en-US"/>
        </w:rPr>
        <w:t>ctinobacteria</w:t>
      </w:r>
      <w:proofErr w:type="spellEnd"/>
      <w:r w:rsidRPr="00A07A41">
        <w:rPr>
          <w:sz w:val="24"/>
          <w:szCs w:val="24"/>
          <w:lang w:val="en-US"/>
        </w:rPr>
        <w:t xml:space="preserve"> phyla / </w:t>
      </w:r>
      <w:proofErr w:type="spellStart"/>
      <w:r w:rsidRPr="00A07A41">
        <w:rPr>
          <w:sz w:val="24"/>
          <w:szCs w:val="24"/>
          <w:lang w:val="en-US"/>
        </w:rPr>
        <w:t>ng</w:t>
      </w:r>
      <w:proofErr w:type="spellEnd"/>
      <w:r w:rsidRPr="00A07A41">
        <w:rPr>
          <w:sz w:val="24"/>
          <w:szCs w:val="24"/>
          <w:lang w:val="en-US"/>
        </w:rPr>
        <w:t xml:space="preserve"> input DNA compared to garn</w:t>
      </w:r>
      <w:r w:rsidR="00FD04FB">
        <w:rPr>
          <w:sz w:val="24"/>
          <w:szCs w:val="24"/>
          <w:lang w:val="en-US"/>
        </w:rPr>
        <w:t>et beads (Supplementary</w:t>
      </w:r>
      <w:r w:rsidRPr="00A07A41">
        <w:rPr>
          <w:sz w:val="24"/>
          <w:szCs w:val="24"/>
          <w:lang w:val="en-US"/>
        </w:rPr>
        <w:t xml:space="preserve"> figure 1D). This was observed in DNA isolated from both stool and the mock community. </w:t>
      </w:r>
      <w:r w:rsidRPr="00A07A41">
        <w:rPr>
          <w:color w:val="000000" w:themeColor="text1"/>
          <w:sz w:val="24"/>
          <w:szCs w:val="24"/>
          <w:lang w:val="en-US"/>
        </w:rPr>
        <w:t xml:space="preserve">The fact that with the </w:t>
      </w:r>
      <w:proofErr w:type="spellStart"/>
      <w:r w:rsidRPr="00A07A41">
        <w:rPr>
          <w:color w:val="000000" w:themeColor="text1"/>
          <w:sz w:val="24"/>
          <w:szCs w:val="24"/>
          <w:lang w:val="en-US"/>
        </w:rPr>
        <w:t>mutanolysin</w:t>
      </w:r>
      <w:proofErr w:type="spellEnd"/>
      <w:r w:rsidRPr="00A07A41">
        <w:rPr>
          <w:color w:val="000000" w:themeColor="text1"/>
          <w:sz w:val="24"/>
          <w:szCs w:val="24"/>
          <w:lang w:val="en-US"/>
        </w:rPr>
        <w:t xml:space="preserve"> and glass beads a more effective extraction was achieved for </w:t>
      </w:r>
      <w:proofErr w:type="spellStart"/>
      <w:r w:rsidRPr="00A07A41">
        <w:rPr>
          <w:color w:val="000000" w:themeColor="text1"/>
          <w:sz w:val="24"/>
          <w:szCs w:val="24"/>
          <w:lang w:val="en-US"/>
        </w:rPr>
        <w:t>Firmicutes</w:t>
      </w:r>
      <w:proofErr w:type="spellEnd"/>
      <w:r w:rsidRPr="00A07A41">
        <w:rPr>
          <w:color w:val="000000" w:themeColor="text1"/>
          <w:sz w:val="24"/>
          <w:szCs w:val="24"/>
          <w:lang w:val="en-US"/>
        </w:rPr>
        <w:t xml:space="preserve"> and </w:t>
      </w:r>
      <w:proofErr w:type="spellStart"/>
      <w:r w:rsidRPr="00A07A41">
        <w:rPr>
          <w:color w:val="000000" w:themeColor="text1"/>
          <w:sz w:val="24"/>
          <w:szCs w:val="24"/>
          <w:lang w:val="en-US"/>
        </w:rPr>
        <w:t>Actinobacteria</w:t>
      </w:r>
      <w:proofErr w:type="spellEnd"/>
      <w:r w:rsidRPr="00A07A41">
        <w:rPr>
          <w:color w:val="000000" w:themeColor="text1"/>
          <w:sz w:val="24"/>
          <w:szCs w:val="24"/>
          <w:lang w:val="en-US"/>
        </w:rPr>
        <w:t xml:space="preserve"> is in accordance with what was found in the literature </w:t>
      </w:r>
      <w:r w:rsidRPr="00A07A41">
        <w:rPr>
          <w:color w:val="000000" w:themeColor="text1"/>
          <w:sz w:val="24"/>
          <w:szCs w:val="24"/>
          <w:lang w:val="en-US"/>
        </w:rPr>
        <w:fldChar w:fldCharType="begin" w:fldLock="1"/>
      </w:r>
      <w:r w:rsidR="00FF5F7A">
        <w:rPr>
          <w:color w:val="000000" w:themeColor="text1"/>
          <w:sz w:val="24"/>
          <w:szCs w:val="24"/>
          <w:lang w:val="en-US"/>
        </w:rPr>
        <w:instrText>ADDIN CSL_CITATION { "citationItems" : [ { "id" : "ITEM-1", "itemData" : { "DOI" : "10.1371/journal.pone.0033865", "ISSN" : "1932-6203", "PMID" : "22457796", "abstract" : "BACKGROUND: DNA extraction is an essential step in all cultivation-independent approaches to characterize microbial diversity, including that associated with the human body. A fundamental challenge in using these approaches has been to isolate DNA that is representative of the microbial community sampled.\n\nMETHODOLOGY/PRINCIPAL FINDINGS: In this study, we statistically evaluated six commonly used DNA extraction procedures using eleven human-associated bacterial species and a mock community that contained equal numbers of those eleven species. These methods were compared on the basis of DNA yield, DNA shearing, reproducibility, and most importantly representation of microbial diversity. The analysis of 16S rRNA gene sequences from a mock community showed that the observed species abundances were significantly different from the expected species abundances for all six DNA extraction methods used.\n\nCONCLUSIONS/SIGNIFICANCE: Protocols that included bead beating and/or mutanolysin produced significantly better bacterial community structure representation than methods without both of them. The reproducibility of all six methods was similar, and results from different experimenters and different times were in good agreement. Based on the evaluations done it appears that DNA extraction procedures for bacterial community analysis of human associated samples should include bead beating and/or mutanolysin to effectively lyse cells.", "author" : [ { "dropping-particle" : "", "family" : "Yuan", "given" : "Sanqing", "non-dropping-particle" : "", "parse-names" : false, "suffix" : "" }, { "dropping-particle" : "", "family" : "Cohen", "given" : "Dora B", "non-dropping-particle" : "", "parse-names" : false, "suffix" : "" }, { "dropping-particle" : "", "family" : "Ravel", "given" : "Jacques", "non-dropping-particle" : "", "parse-names" : false, "suffix" : "" }, { "dropping-particle" : "", "family" : "Abdo", "given" : "Zaid", "non-dropping-particle" : "", "parse-names" : false, "suffix" : "" }, { "dropping-particle" : "", "family" : "Forney", "given" : "Larry J", "non-dropping-particle" : "", "parse-names" : false, "suffix" : "" } ], "container-title" : "PloS one", "editor" : [ { "dropping-particle" : "", "family" : "Gilbert", "given" : "Jack Anthony", "non-dropping-particle" : "", "parse-names" : false, "suffix" : "" } ], "id" : "ITEM-1", "issue" : "3", "issued" : { "date-parts" : [ [ "2012", "1" ] ] }, "page" : "e33865", "publisher" : "Public Library of Science", "title" : "Evaluation of methods for the extraction and purification of DNA from the human microbiome.", "type" : "article-journal", "volume" : "7" }, "uris" : [ "http://www.mendeley.com/documents/?uuid=51055c40-a8eb-497a-be35-194e92e214c3" ] } ], "mendeley" : { "formattedCitation" : "[9]", "plainTextFormattedCitation" : "[9]", "previouslyFormattedCitation" : "[6]" }, "properties" : { "noteIndex" : 0 }, "schema" : "https://github.com/citation-style-language/schema/raw/master/csl-citation.json" }</w:instrText>
      </w:r>
      <w:r w:rsidRPr="00A07A41">
        <w:rPr>
          <w:color w:val="000000" w:themeColor="text1"/>
          <w:sz w:val="24"/>
          <w:szCs w:val="24"/>
          <w:lang w:val="en-US"/>
        </w:rPr>
        <w:fldChar w:fldCharType="separate"/>
      </w:r>
      <w:r w:rsidR="00FF5F7A" w:rsidRPr="00FF5F7A">
        <w:rPr>
          <w:noProof/>
          <w:color w:val="000000" w:themeColor="text1"/>
          <w:sz w:val="24"/>
          <w:szCs w:val="24"/>
          <w:lang w:val="en-US"/>
        </w:rPr>
        <w:t>[9]</w:t>
      </w:r>
      <w:r w:rsidRPr="00A07A41">
        <w:rPr>
          <w:color w:val="000000" w:themeColor="text1"/>
          <w:sz w:val="24"/>
          <w:szCs w:val="24"/>
          <w:lang w:val="en-US"/>
        </w:rPr>
        <w:fldChar w:fldCharType="end"/>
      </w:r>
      <w:r w:rsidRPr="00A07A41">
        <w:rPr>
          <w:color w:val="000000" w:themeColor="text1"/>
          <w:sz w:val="24"/>
          <w:szCs w:val="24"/>
          <w:lang w:val="en-US"/>
        </w:rPr>
        <w:t xml:space="preserve">, confirming that enzymatic </w:t>
      </w:r>
      <w:proofErr w:type="spellStart"/>
      <w:r w:rsidRPr="00A07A41">
        <w:rPr>
          <w:color w:val="000000" w:themeColor="text1"/>
          <w:sz w:val="24"/>
          <w:szCs w:val="24"/>
          <w:lang w:val="en-US"/>
        </w:rPr>
        <w:t>lysis</w:t>
      </w:r>
      <w:proofErr w:type="spellEnd"/>
      <w:r w:rsidRPr="00A07A41">
        <w:rPr>
          <w:color w:val="000000" w:themeColor="text1"/>
          <w:sz w:val="24"/>
          <w:szCs w:val="24"/>
          <w:lang w:val="en-US"/>
        </w:rPr>
        <w:t xml:space="preserve">  and smaller beads are important additions to the DNA isolation protocol that allow a better detection of Gram-positive bacteria.</w:t>
      </w:r>
      <w:r w:rsidRPr="00A07A41">
        <w:rPr>
          <w:sz w:val="24"/>
          <w:szCs w:val="24"/>
          <w:lang w:val="en-US"/>
        </w:rPr>
        <w:t xml:space="preserve"> Therefore we selected 0.1mm glass beads combined with </w:t>
      </w:r>
      <w:proofErr w:type="spellStart"/>
      <w:r w:rsidRPr="00A07A41">
        <w:rPr>
          <w:sz w:val="24"/>
          <w:szCs w:val="24"/>
          <w:lang w:val="en-US"/>
        </w:rPr>
        <w:t>mutanolysin</w:t>
      </w:r>
      <w:proofErr w:type="spellEnd"/>
      <w:r w:rsidRPr="00A07A41">
        <w:rPr>
          <w:sz w:val="24"/>
          <w:szCs w:val="24"/>
          <w:lang w:val="en-US"/>
        </w:rPr>
        <w:t xml:space="preserve"> pretreatment and </w:t>
      </w:r>
      <w:proofErr w:type="gramStart"/>
      <w:r w:rsidRPr="00A07A41">
        <w:rPr>
          <w:sz w:val="24"/>
          <w:szCs w:val="24"/>
          <w:lang w:val="en-US"/>
        </w:rPr>
        <w:t>bead-beating</w:t>
      </w:r>
      <w:proofErr w:type="gramEnd"/>
      <w:r w:rsidRPr="00A07A41">
        <w:rPr>
          <w:sz w:val="24"/>
          <w:szCs w:val="24"/>
          <w:lang w:val="en-US"/>
        </w:rPr>
        <w:t xml:space="preserve"> at 6400 rpm for 2x30 seconds combined with the </w:t>
      </w:r>
      <w:proofErr w:type="spellStart"/>
      <w:r w:rsidRPr="00A07A41">
        <w:rPr>
          <w:sz w:val="24"/>
          <w:szCs w:val="24"/>
          <w:lang w:val="en-US"/>
        </w:rPr>
        <w:t>MoBio</w:t>
      </w:r>
      <w:proofErr w:type="spellEnd"/>
      <w:r w:rsidRPr="00A07A41">
        <w:rPr>
          <w:sz w:val="24"/>
          <w:szCs w:val="24"/>
          <w:lang w:val="en-US"/>
        </w:rPr>
        <w:t xml:space="preserve"> protocol. In our hands this method had the highest yields (absolute Ct values/ </w:t>
      </w:r>
      <w:proofErr w:type="spellStart"/>
      <w:r w:rsidRPr="00A07A41">
        <w:rPr>
          <w:sz w:val="24"/>
          <w:szCs w:val="24"/>
          <w:lang w:val="en-US"/>
        </w:rPr>
        <w:t>ng</w:t>
      </w:r>
      <w:proofErr w:type="spellEnd"/>
      <w:r w:rsidRPr="00A07A41">
        <w:rPr>
          <w:sz w:val="24"/>
          <w:szCs w:val="24"/>
          <w:lang w:val="en-US"/>
        </w:rPr>
        <w:t xml:space="preserve"> DNA). </w:t>
      </w:r>
    </w:p>
    <w:p w14:paraId="3426BBBC" w14:textId="77777777" w:rsidR="002C451C" w:rsidRPr="00FD04FB" w:rsidRDefault="002C451C" w:rsidP="002C451C">
      <w:pPr>
        <w:spacing w:line="480" w:lineRule="auto"/>
        <w:rPr>
          <w:rStyle w:val="SubtleEmphasis"/>
          <w:b/>
          <w:i w:val="0"/>
          <w:sz w:val="24"/>
          <w:szCs w:val="24"/>
          <w:lang w:val="en-US"/>
        </w:rPr>
      </w:pPr>
      <w:r w:rsidRPr="00FD04FB">
        <w:rPr>
          <w:rStyle w:val="SubtleEmphasis"/>
          <w:b/>
          <w:i w:val="0"/>
          <w:sz w:val="24"/>
          <w:szCs w:val="24"/>
          <w:lang w:val="en-US"/>
        </w:rPr>
        <w:t>Final DNA extraction protocol</w:t>
      </w:r>
    </w:p>
    <w:p w14:paraId="4CFCDC1C" w14:textId="77777777" w:rsidR="002C451C" w:rsidRPr="00A07A41" w:rsidRDefault="002C451C" w:rsidP="002C451C">
      <w:pPr>
        <w:spacing w:line="480" w:lineRule="auto"/>
        <w:rPr>
          <w:sz w:val="24"/>
          <w:szCs w:val="24"/>
          <w:lang w:val="en-US"/>
        </w:rPr>
      </w:pPr>
      <w:r w:rsidRPr="00A07A41">
        <w:rPr>
          <w:sz w:val="24"/>
          <w:szCs w:val="24"/>
          <w:lang w:val="en-US"/>
        </w:rPr>
        <w:t xml:space="preserve">The OC-sensor liquid was transferred to </w:t>
      </w:r>
      <w:proofErr w:type="spellStart"/>
      <w:r w:rsidRPr="00A07A41">
        <w:rPr>
          <w:sz w:val="24"/>
          <w:szCs w:val="24"/>
          <w:lang w:val="en-US"/>
        </w:rPr>
        <w:t>eppendorf</w:t>
      </w:r>
      <w:proofErr w:type="spellEnd"/>
      <w:r w:rsidRPr="00A07A41">
        <w:rPr>
          <w:sz w:val="24"/>
          <w:szCs w:val="24"/>
          <w:lang w:val="en-US"/>
        </w:rPr>
        <w:t xml:space="preserve"> tubes and centrifuged at 14000 g for 1 minute. The pellet was used for the DNA-extraction protocol. For </w:t>
      </w:r>
      <w:proofErr w:type="spellStart"/>
      <w:r w:rsidRPr="00A07A41">
        <w:rPr>
          <w:sz w:val="24"/>
          <w:szCs w:val="24"/>
          <w:lang w:val="en-US"/>
        </w:rPr>
        <w:t>Hemmocult</w:t>
      </w:r>
      <w:proofErr w:type="spellEnd"/>
      <w:r w:rsidRPr="00A07A41">
        <w:rPr>
          <w:sz w:val="24"/>
          <w:szCs w:val="24"/>
          <w:lang w:val="en-US"/>
        </w:rPr>
        <w:t xml:space="preserve"> cards, the cards were cut into pieces from roughly around 0.5 by 0.5 cm. The OC-sensor pellet and </w:t>
      </w:r>
      <w:proofErr w:type="spellStart"/>
      <w:r w:rsidRPr="00A07A41">
        <w:rPr>
          <w:sz w:val="24"/>
          <w:szCs w:val="24"/>
          <w:lang w:val="en-US"/>
        </w:rPr>
        <w:t>Hemmocult</w:t>
      </w:r>
      <w:proofErr w:type="spellEnd"/>
      <w:r w:rsidRPr="00A07A41">
        <w:rPr>
          <w:sz w:val="24"/>
          <w:szCs w:val="24"/>
          <w:lang w:val="en-US"/>
        </w:rPr>
        <w:t xml:space="preserve"> card pieces were dissolved in Mo BIO bead solution with 0,2 KU of </w:t>
      </w:r>
      <w:proofErr w:type="spellStart"/>
      <w:r w:rsidRPr="00A07A41">
        <w:rPr>
          <w:sz w:val="24"/>
          <w:szCs w:val="24"/>
          <w:lang w:val="en-US"/>
        </w:rPr>
        <w:t>mutanolysin</w:t>
      </w:r>
      <w:proofErr w:type="spellEnd"/>
      <w:r w:rsidRPr="00A07A41">
        <w:rPr>
          <w:sz w:val="24"/>
          <w:szCs w:val="24"/>
          <w:lang w:val="en-US"/>
        </w:rPr>
        <w:t xml:space="preserve">. After dissolving, the card pieces were removed and the samples were incubated at 37°C for 60 minutes. Next </w:t>
      </w:r>
      <w:proofErr w:type="spellStart"/>
      <w:r w:rsidRPr="00A07A41">
        <w:rPr>
          <w:sz w:val="24"/>
          <w:szCs w:val="24"/>
          <w:lang w:val="en-US"/>
        </w:rPr>
        <w:t>MoBio</w:t>
      </w:r>
      <w:proofErr w:type="spellEnd"/>
      <w:r w:rsidRPr="00A07A41">
        <w:rPr>
          <w:sz w:val="24"/>
          <w:szCs w:val="24"/>
          <w:lang w:val="en-US"/>
        </w:rPr>
        <w:t xml:space="preserve"> Bead solution</w:t>
      </w:r>
      <w:r>
        <w:rPr>
          <w:sz w:val="24"/>
          <w:szCs w:val="24"/>
          <w:lang w:val="en-US"/>
        </w:rPr>
        <w:t xml:space="preserve"> was added (up to 750 </w:t>
      </w:r>
      <w:proofErr w:type="spellStart"/>
      <w:r>
        <w:rPr>
          <w:sz w:val="24"/>
          <w:szCs w:val="24"/>
          <w:lang w:val="en-US"/>
        </w:rPr>
        <w:t>μl</w:t>
      </w:r>
      <w:proofErr w:type="spellEnd"/>
      <w:r w:rsidRPr="00A07A41">
        <w:rPr>
          <w:sz w:val="24"/>
          <w:szCs w:val="24"/>
          <w:lang w:val="en-US"/>
        </w:rPr>
        <w:t xml:space="preserve">) together with the glass-beads and the </w:t>
      </w:r>
      <w:proofErr w:type="spellStart"/>
      <w:r w:rsidRPr="00A07A41">
        <w:rPr>
          <w:sz w:val="24"/>
          <w:szCs w:val="24"/>
          <w:lang w:val="en-US"/>
        </w:rPr>
        <w:t>MoBio</w:t>
      </w:r>
      <w:proofErr w:type="spellEnd"/>
      <w:r w:rsidRPr="00A07A41">
        <w:rPr>
          <w:sz w:val="24"/>
          <w:szCs w:val="24"/>
          <w:lang w:val="en-US"/>
        </w:rPr>
        <w:t xml:space="preserve"> </w:t>
      </w:r>
      <w:proofErr w:type="spellStart"/>
      <w:r w:rsidRPr="00A07A41">
        <w:rPr>
          <w:sz w:val="24"/>
          <w:szCs w:val="24"/>
          <w:lang w:val="en-US"/>
        </w:rPr>
        <w:t>Powerlyser</w:t>
      </w:r>
      <w:proofErr w:type="spellEnd"/>
      <w:r w:rsidRPr="00A07A41">
        <w:rPr>
          <w:sz w:val="24"/>
          <w:szCs w:val="24"/>
          <w:lang w:val="en-US"/>
        </w:rPr>
        <w:t xml:space="preserve"> </w:t>
      </w:r>
      <w:proofErr w:type="spellStart"/>
      <w:r w:rsidRPr="00A07A41">
        <w:rPr>
          <w:sz w:val="24"/>
          <w:szCs w:val="24"/>
          <w:lang w:val="en-US"/>
        </w:rPr>
        <w:t>Powersoil</w:t>
      </w:r>
      <w:proofErr w:type="spellEnd"/>
      <w:r w:rsidRPr="00A07A41">
        <w:rPr>
          <w:sz w:val="24"/>
          <w:szCs w:val="24"/>
          <w:lang w:val="en-US"/>
        </w:rPr>
        <w:t xml:space="preserve"> DNA isolation protocol was followed with the inclusion of </w:t>
      </w:r>
      <w:proofErr w:type="gramStart"/>
      <w:r w:rsidRPr="00A07A41">
        <w:rPr>
          <w:sz w:val="24"/>
          <w:szCs w:val="24"/>
          <w:lang w:val="en-US"/>
        </w:rPr>
        <w:t>bead-beating</w:t>
      </w:r>
      <w:proofErr w:type="gramEnd"/>
      <w:r w:rsidRPr="00A07A41">
        <w:rPr>
          <w:sz w:val="24"/>
          <w:szCs w:val="24"/>
          <w:lang w:val="en-US"/>
        </w:rPr>
        <w:t xml:space="preserve"> with the </w:t>
      </w:r>
      <w:proofErr w:type="spellStart"/>
      <w:r w:rsidRPr="00A07A41">
        <w:rPr>
          <w:sz w:val="24"/>
          <w:szCs w:val="24"/>
          <w:lang w:val="en-US"/>
        </w:rPr>
        <w:t>MagNA</w:t>
      </w:r>
      <w:proofErr w:type="spellEnd"/>
      <w:r w:rsidRPr="00A07A41">
        <w:rPr>
          <w:sz w:val="24"/>
          <w:szCs w:val="24"/>
          <w:lang w:val="en-US"/>
        </w:rPr>
        <w:t xml:space="preserve"> </w:t>
      </w:r>
      <w:proofErr w:type="spellStart"/>
      <w:r w:rsidRPr="00A07A41">
        <w:rPr>
          <w:sz w:val="24"/>
          <w:szCs w:val="24"/>
          <w:lang w:val="en-US"/>
        </w:rPr>
        <w:t>lyser</w:t>
      </w:r>
      <w:proofErr w:type="spellEnd"/>
      <w:r w:rsidRPr="00A07A41">
        <w:rPr>
          <w:sz w:val="24"/>
          <w:szCs w:val="24"/>
          <w:lang w:val="en-US"/>
        </w:rPr>
        <w:t xml:space="preserve"> at 6400 rpm (2 x 30 seconds with 30 seconds on ice in between to prevent heating). Samples were eluted in </w:t>
      </w:r>
      <w:proofErr w:type="gramStart"/>
      <w:r w:rsidRPr="00A07A41">
        <w:rPr>
          <w:sz w:val="24"/>
          <w:szCs w:val="24"/>
          <w:lang w:val="en-US"/>
        </w:rPr>
        <w:t xml:space="preserve">50 </w:t>
      </w:r>
      <w:proofErr w:type="spellStart"/>
      <w:r>
        <w:rPr>
          <w:sz w:val="24"/>
          <w:szCs w:val="24"/>
          <w:lang w:val="en-US"/>
        </w:rPr>
        <w:t>μl</w:t>
      </w:r>
      <w:proofErr w:type="spellEnd"/>
      <w:proofErr w:type="gramEnd"/>
      <w:r w:rsidRPr="00A07A41">
        <w:rPr>
          <w:sz w:val="24"/>
          <w:szCs w:val="24"/>
          <w:lang w:val="en-US"/>
        </w:rPr>
        <w:t xml:space="preserve"> final volume. Isolated DNA quantity was measured with the </w:t>
      </w:r>
      <w:proofErr w:type="spellStart"/>
      <w:r w:rsidRPr="00A07A41">
        <w:rPr>
          <w:sz w:val="24"/>
          <w:szCs w:val="24"/>
          <w:lang w:val="en-US"/>
        </w:rPr>
        <w:t>Qubit</w:t>
      </w:r>
      <w:proofErr w:type="spellEnd"/>
      <w:r w:rsidRPr="00A07A41">
        <w:rPr>
          <w:sz w:val="24"/>
          <w:szCs w:val="24"/>
          <w:lang w:val="en-US"/>
        </w:rPr>
        <w:t xml:space="preserve"> High-Sensitivity protocol (Thermo-Fisher Scientific) and quality was evaluated on 1% </w:t>
      </w:r>
      <w:proofErr w:type="spellStart"/>
      <w:r w:rsidRPr="00A07A41">
        <w:rPr>
          <w:sz w:val="24"/>
          <w:szCs w:val="24"/>
          <w:lang w:val="en-US"/>
        </w:rPr>
        <w:t>agarose</w:t>
      </w:r>
      <w:proofErr w:type="spellEnd"/>
      <w:r w:rsidRPr="00A07A41">
        <w:rPr>
          <w:sz w:val="24"/>
          <w:szCs w:val="24"/>
          <w:lang w:val="en-US"/>
        </w:rPr>
        <w:t xml:space="preserve"> gel in TBE-buffer with </w:t>
      </w:r>
      <w:proofErr w:type="spellStart"/>
      <w:r w:rsidRPr="00A07A41">
        <w:rPr>
          <w:sz w:val="24"/>
          <w:szCs w:val="24"/>
          <w:lang w:val="en-US"/>
        </w:rPr>
        <w:t>ethidium</w:t>
      </w:r>
      <w:proofErr w:type="spellEnd"/>
      <w:r w:rsidRPr="00A07A41">
        <w:rPr>
          <w:sz w:val="24"/>
          <w:szCs w:val="24"/>
          <w:lang w:val="en-US"/>
        </w:rPr>
        <w:t xml:space="preserve"> bromide. As reference the 1kb Plus DNA ladder was used (Thermo-Fisher Scientific). </w:t>
      </w:r>
    </w:p>
    <w:p w14:paraId="1B94FC96" w14:textId="77777777" w:rsidR="002C451C" w:rsidRPr="00FD04FB" w:rsidRDefault="002C451C" w:rsidP="002C451C">
      <w:pPr>
        <w:spacing w:line="480" w:lineRule="auto"/>
        <w:rPr>
          <w:rStyle w:val="SubtleEmphasis"/>
          <w:b/>
          <w:i w:val="0"/>
          <w:sz w:val="24"/>
          <w:szCs w:val="24"/>
          <w:lang w:val="en-US"/>
        </w:rPr>
      </w:pPr>
      <w:proofErr w:type="spellStart"/>
      <w:proofErr w:type="gramStart"/>
      <w:r w:rsidRPr="00FD04FB">
        <w:rPr>
          <w:rStyle w:val="SubtleEmphasis"/>
          <w:b/>
          <w:i w:val="0"/>
          <w:sz w:val="24"/>
          <w:szCs w:val="24"/>
          <w:lang w:val="en-US"/>
        </w:rPr>
        <w:t>qPCR</w:t>
      </w:r>
      <w:proofErr w:type="spellEnd"/>
      <w:proofErr w:type="gramEnd"/>
      <w:r w:rsidRPr="00FD04FB">
        <w:rPr>
          <w:rStyle w:val="SubtleEmphasis"/>
          <w:b/>
          <w:i w:val="0"/>
          <w:sz w:val="24"/>
          <w:szCs w:val="24"/>
          <w:lang w:val="en-US"/>
        </w:rPr>
        <w:t xml:space="preserve"> protocol and primers</w:t>
      </w:r>
    </w:p>
    <w:p w14:paraId="3DAAB4E0" w14:textId="77777777" w:rsidR="002C451C" w:rsidRPr="00A07A41" w:rsidRDefault="002C451C" w:rsidP="002C451C">
      <w:pPr>
        <w:spacing w:line="480" w:lineRule="auto"/>
        <w:rPr>
          <w:color w:val="000000" w:themeColor="text1"/>
          <w:sz w:val="24"/>
          <w:szCs w:val="24"/>
          <w:lang w:val="en-US"/>
        </w:rPr>
      </w:pPr>
      <w:r w:rsidRPr="00A07A41">
        <w:rPr>
          <w:sz w:val="24"/>
          <w:szCs w:val="24"/>
          <w:lang w:val="en-US"/>
        </w:rPr>
        <w:lastRenderedPageBreak/>
        <w:t xml:space="preserve">Real-time PCRs were performed in a </w:t>
      </w:r>
      <w:r w:rsidRPr="00A07A41">
        <w:rPr>
          <w:color w:val="000000" w:themeColor="text1"/>
          <w:sz w:val="24"/>
          <w:szCs w:val="24"/>
          <w:lang w:val="en-US"/>
        </w:rPr>
        <w:t xml:space="preserve">7500 Fast Real-Time PCR system (Applied </w:t>
      </w:r>
      <w:proofErr w:type="spellStart"/>
      <w:r w:rsidRPr="00A07A41">
        <w:rPr>
          <w:color w:val="000000" w:themeColor="text1"/>
          <w:sz w:val="24"/>
          <w:szCs w:val="24"/>
          <w:lang w:val="en-US"/>
        </w:rPr>
        <w:t>Biosystems</w:t>
      </w:r>
      <w:proofErr w:type="spellEnd"/>
      <w:r w:rsidRPr="00A07A41">
        <w:rPr>
          <w:color w:val="000000" w:themeColor="text1"/>
          <w:sz w:val="24"/>
          <w:szCs w:val="24"/>
          <w:lang w:val="en-US"/>
        </w:rPr>
        <w:t xml:space="preserve">®). Primers were selected based on of Yang et al. </w:t>
      </w:r>
      <w:r w:rsidRPr="00A07A41">
        <w:rPr>
          <w:color w:val="000000" w:themeColor="text1"/>
          <w:sz w:val="24"/>
          <w:szCs w:val="24"/>
          <w:lang w:val="en-US"/>
        </w:rPr>
        <w:fldChar w:fldCharType="begin" w:fldLock="1"/>
      </w:r>
      <w:r w:rsidR="00FF5F7A">
        <w:rPr>
          <w:color w:val="000000" w:themeColor="text1"/>
          <w:sz w:val="24"/>
          <w:szCs w:val="24"/>
          <w:lang w:val="en-US"/>
        </w:rPr>
        <w:instrText>ADDIN CSL_CITATION { "citationItems" : [ { "id" : "ITEM-1", "itemData" : { "ISSN" : "1098-5336", "abstract" : "Mouse models are widely used for studying gastrointestinal (GI) tract-related diseases. It is necessary and important to develop a new set of primers to monitor the mouse gut microbiota. In this study, 16S rRNA gene-targeted group-specific primers for Firmicutes, Actinobacteria, Bacteroidetes, Deferribacteres, \"Candidatus Saccharibacteria,\" Verrucomicrobia, Tenericutes, and Proteobacteria were designed and validated for quantification of the predominant bacterial species in mouse feces by real-time PCR. After confirmation of their accuracy and specificity by high-throughput sequencing technologies, these primers were applied to quantify the changes in the fecal samples from a trinitrobenzene sulfonic acid-induced colitis mouse model. Our results showed that this approach efficiently predicted the occurrence of colitis, such as spontaneous chronic inflammatory bowel disease in transgenic mice. The set of primers developed in this study provides a simple and affordable method to monitor changes in the intestinal microbiota at the phylum level.", "author" : [ { "dropping-particle" : "", "family" : "Yang", "given" : "Yun-Wen", "non-dropping-particle" : "", "parse-names" : false, "suffix" : "" }, { "dropping-particle" : "", "family" : "Chen", "given" : "Mang-Kun", "non-dropping-particle" : "", "parse-names" : false, "suffix" : "" }, { "dropping-particle" : "", "family" : "Yang", "given" : "Bing-Ya", "non-dropping-particle" : "", "parse-names" : false, "suffix" : "" }, { "dropping-particle" : "", "family" : "Huang", "given" : "Xian-Jie", "non-dropping-particle" : "", "parse-names" : false, "suffix" : "" }, { "dropping-particle" : "", "family" : "Zhang", "given" : "Xue-Rui", "non-dropping-particle" : "", "parse-names" : false, "suffix" : "" }, { "dropping-particle" : "", "family" : "He", "given" : "Liang-Qiang", "non-dropping-particle" : "", "parse-names" : false, "suffix" : "" }, { "dropping-particle" : "", "family" : "Zhang", "given" : "Jing", "non-dropping-particle" : "", "parse-names" : false, "suffix" : "" }, { "dropping-particle" : "", "family" : "Hua", "given" : "Zi-Chun", "non-dropping-particle" : "", "parse-names" : false, "suffix" : "" } ], "container-title" : "Applied and environmental microbiology", "id" : "ITEM-1", "issue" : "19", "issued" : { "date-parts" : [ [ "2015", "10" ] ] }, "page" : "6749-56", "title" : "Use of 16S rRNA Gene-Targeted Group-Specific Primers for Real-Time PCR Analysis of Predominant Bacteria in Mouse Feces.", "type" : "article-journal", "volume" : "81" }, "uris" : [ "http://www.mendeley.com/documents/?uuid=e574e972-fa17-4d3f-bd47-75032a29a8f4" ] } ], "mendeley" : { "formattedCitation" : "[10]", "plainTextFormattedCitation" : "[10]", "previouslyFormattedCitation" : "[7]" }, "properties" : { "noteIndex" : 0 }, "schema" : "https://github.com/citation-style-language/schema/raw/master/csl-citation.json" }</w:instrText>
      </w:r>
      <w:r w:rsidRPr="00A07A41">
        <w:rPr>
          <w:color w:val="000000" w:themeColor="text1"/>
          <w:sz w:val="24"/>
          <w:szCs w:val="24"/>
          <w:lang w:val="en-US"/>
        </w:rPr>
        <w:fldChar w:fldCharType="separate"/>
      </w:r>
      <w:r w:rsidR="00FF5F7A" w:rsidRPr="00FF5F7A">
        <w:rPr>
          <w:noProof/>
          <w:color w:val="000000" w:themeColor="text1"/>
          <w:sz w:val="24"/>
          <w:szCs w:val="24"/>
          <w:lang w:val="en-US"/>
        </w:rPr>
        <w:t>[10]</w:t>
      </w:r>
      <w:r w:rsidRPr="00A07A41">
        <w:rPr>
          <w:color w:val="000000" w:themeColor="text1"/>
          <w:sz w:val="24"/>
          <w:szCs w:val="24"/>
          <w:lang w:val="en-US"/>
        </w:rPr>
        <w:fldChar w:fldCharType="end"/>
      </w:r>
      <w:r w:rsidRPr="007B6C28">
        <w:rPr>
          <w:color w:val="000000" w:themeColor="text1"/>
          <w:sz w:val="24"/>
          <w:szCs w:val="24"/>
          <w:lang w:val="en-US"/>
        </w:rPr>
        <w:t xml:space="preserve"> and De </w:t>
      </w:r>
      <w:proofErr w:type="spellStart"/>
      <w:r w:rsidRPr="007B6C28">
        <w:rPr>
          <w:color w:val="000000" w:themeColor="text1"/>
          <w:sz w:val="24"/>
          <w:szCs w:val="24"/>
          <w:lang w:val="en-US"/>
        </w:rPr>
        <w:t>Gregoris</w:t>
      </w:r>
      <w:proofErr w:type="spellEnd"/>
      <w:r w:rsidRPr="007B6C28">
        <w:rPr>
          <w:color w:val="000000" w:themeColor="text1"/>
          <w:sz w:val="24"/>
          <w:szCs w:val="24"/>
          <w:lang w:val="en-US"/>
        </w:rPr>
        <w:t xml:space="preserve"> et al. </w:t>
      </w:r>
      <w:r w:rsidRPr="00A07A41">
        <w:rPr>
          <w:color w:val="000000" w:themeColor="text1"/>
          <w:sz w:val="24"/>
          <w:szCs w:val="24"/>
          <w:lang w:val="en-US"/>
        </w:rPr>
        <w:fldChar w:fldCharType="begin" w:fldLock="1"/>
      </w:r>
      <w:r w:rsidR="00FF5F7A">
        <w:rPr>
          <w:color w:val="000000" w:themeColor="text1"/>
          <w:sz w:val="24"/>
          <w:szCs w:val="24"/>
          <w:lang w:val="en-US"/>
        </w:rPr>
        <w:instrText>ADDIN CSL_CITATION { "citationItems" : [ { "id" : "ITEM-1", "itemData" : { "DOI" : "10.1016/j.mimet.2011.06.010", "ISSN" : "1872-8359", "PMID" : "21704084", "abstract" : "Mapping the distribution of phylogenetically distinct bacteria in natural environments is of primary importance to an understanding of ecological dynamics. Here we present a quantitative PCR (qPCR) assay for the analysis of higher taxa composition in natural communities that advances previously available methods by allowing quantification of several taxa during the same qPCR run. Existing primers targeting the 16S rRNA gene specific for Firmicutes, Actinobacteria, Bacteroidetes and for the \u03b1 and \u03b3 subdivisions of the Proteobacteria were improved by largely increasing the coverage of the taxon they target without diminishing their specificity. The qPCR assay was validated in vitro testing artificial mixtures of 16S rRNA sequences and used to characterise the composition of natural communities developing in young marine biofilms. The possible contribution of the proposed technique in revealing ecological dynamics affecting higher bacterial taxa is discussed.", "author" : [ { "dropping-particle" : "", "family" : "Bacchetti De Gregoris", "given" : "Tristano", "non-dropping-particle" : "", "parse-names" : false, "suffix" : "" }, { "dropping-particle" : "", "family" : "Aldred", "given" : "Nick", "non-dropping-particle" : "", "parse-names" : false, "suffix" : "" }, { "dropping-particle" : "", "family" : "Clare", "given" : "Anthony S", "non-dropping-particle" : "", "parse-names" : false, "suffix" : "" }, { "dropping-particle" : "", "family" : "Burgess", "given" : "J Grant", "non-dropping-particle" : "", "parse-names" : false, "suffix" : "" } ], "container-title" : "Journal of microbiological methods", "id" : "ITEM-1", "issue" : "3", "issued" : { "date-parts" : [ [ "2011", "9" ] ] }, "page" : "351-6", "title" : "Improvement of phylum- and class-specific primers for real-time PCR quantification of bacterial taxa.", "type" : "article-journal", "volume" : "86" }, "uris" : [ "http://www.mendeley.com/documents/?uuid=42aa7fff-c338-479c-bf30-0954100b8159" ] } ], "mendeley" : { "formattedCitation" : "[11]", "plainTextFormattedCitation" : "[11]", "previouslyFormattedCitation" : "[8]" }, "properties" : { "noteIndex" : 0 }, "schema" : "https://github.com/citation-style-language/schema/raw/master/csl-citation.json" }</w:instrText>
      </w:r>
      <w:r w:rsidRPr="00A07A41">
        <w:rPr>
          <w:color w:val="000000" w:themeColor="text1"/>
          <w:sz w:val="24"/>
          <w:szCs w:val="24"/>
          <w:lang w:val="en-US"/>
        </w:rPr>
        <w:fldChar w:fldCharType="separate"/>
      </w:r>
      <w:r w:rsidR="00FF5F7A" w:rsidRPr="00FF5F7A">
        <w:rPr>
          <w:noProof/>
          <w:color w:val="000000" w:themeColor="text1"/>
          <w:sz w:val="24"/>
          <w:szCs w:val="24"/>
          <w:lang w:val="en-US"/>
        </w:rPr>
        <w:t>[11]</w:t>
      </w:r>
      <w:r w:rsidRPr="00A07A41">
        <w:rPr>
          <w:color w:val="000000" w:themeColor="text1"/>
          <w:sz w:val="24"/>
          <w:szCs w:val="24"/>
          <w:lang w:val="en-US"/>
        </w:rPr>
        <w:fldChar w:fldCharType="end"/>
      </w:r>
      <w:r w:rsidRPr="00A07A41">
        <w:rPr>
          <w:color w:val="000000" w:themeColor="text1"/>
          <w:sz w:val="24"/>
          <w:szCs w:val="24"/>
          <w:lang w:val="en-US"/>
        </w:rPr>
        <w:t xml:space="preserve"> and primer pair specificity was evaluated using the RDPII database (</w:t>
      </w:r>
      <w:r w:rsidRPr="00A07A41">
        <w:rPr>
          <w:color w:val="000000" w:themeColor="text1"/>
          <w:sz w:val="24"/>
          <w:szCs w:val="24"/>
          <w:lang w:val="en-US"/>
        </w:rPr>
        <w:fldChar w:fldCharType="begin" w:fldLock="1"/>
      </w:r>
      <w:r w:rsidR="00FF5F7A">
        <w:rPr>
          <w:color w:val="000000" w:themeColor="text1"/>
          <w:sz w:val="24"/>
          <w:szCs w:val="24"/>
          <w:lang w:val="en-US"/>
        </w:rPr>
        <w:instrText>ADDIN CSL_CITATION { "citationItems" : [ { "id" : "ITEM-1", "itemData" : { "DOI" : "10.1093/nar/gkt1244", "ISSN" : "0305-1048", "PMID" : "24288368", "abstract" : "Ribosomal Database Project (RDP; http://rdp.cme.msu.edu/) provides the research community with aligned and annotated rRNA gene sequence data, along with tools to allow researchers to analyze their own rRNA gene sequences in the RDP framework. RDP data and tools are utilized in fields as diverse as human health, microbial ecology, environmental microbiology, nucleic acid chemistry, taxonomy and phylogenetics. In addition to aligned and annotated collections of bacterial and archaeal small subunit rRNA genes, RDP now includes a collection of fungal large subunit rRNA genes. RDP tools, including Classifier and Aligner, have been updated to work with this new fungal collection. The use of high-throughput sequencing to characterize environmental microbial populations has exploded in the past several years, and as sequence technologies have improved, the sizes of environmental datasets have increased. With release 11, RDP is providing an expanded set of tools to facilitate analysis of high-throughput data, including both single-stranded and paired-end reads. In addition, most tools are now available as open source packages for download and local use by researchers with high-volume needs or who would like to develop custom analysis pipelines.", "author" : [ { "dropping-particle" : "", "family" : "Cole", "given" : "James R.", "non-dropping-particle" : "", "parse-names" : false, "suffix" : "" }, { "dropping-particle" : "", "family" : "Wang", "given" : "Qiong", "non-dropping-particle" : "", "parse-names" : false, "suffix" : "" }, { "dropping-particle" : "", "family" : "Fish", "given" : "Jordan A.", "non-dropping-particle" : "", "parse-names" : false, "suffix" : "" }, { "dropping-particle" : "", "family" : "Chai", "given" : "Benli", "non-dropping-particle" : "", "parse-names" : false, "suffix" : "" }, { "dropping-particle" : "", "family" : "McGarrell", "given" : "Donna M.", "non-dropping-particle" : "", "parse-names" : false, "suffix" : "" }, { "dropping-particle" : "", "family" : "Sun", "given" : "Yanni", "non-dropping-particle" : "", "parse-names" : false, "suffix" : "" }, { "dropping-particle" : "", "family" : "Brown", "given" : "C. Titus", "non-dropping-particle" : "", "parse-names" : false, "suffix" : "" }, { "dropping-particle" : "", "family" : "Porras-Alfaro", "given" : "Andrea", "non-dropping-particle" : "", "parse-names" : false, "suffix" : "" }, { "dropping-particle" : "", "family" : "Kuske", "given" : "Cheryl R.", "non-dropping-particle" : "", "parse-names" : false, "suffix" : "" }, { "dropping-particle" : "", "family" : "Tiedje", "given" : "James M.", "non-dropping-particle" : "", "parse-names" : false, "suffix" : "" } ], "container-title" : "Nucleic Acids Research", "id" : "ITEM-1", "issue" : "D1", "issued" : { "date-parts" : [ [ "2014", "1" ] ] }, "page" : "D633-D642", "title" : "Ribosomal Database Project: data and tools for high throughput rRNA analysis", "type" : "article-journal", "volume" : "42" }, "uris" : [ "http://www.mendeley.com/documents/?uuid=81ea38bc-51e3-32a0-bf8c-0d4422cb67bc" ] } ], "mendeley" : { "formattedCitation" : "[12]", "plainTextFormattedCitation" : "[12]", "previouslyFormattedCitation" : "[9]" }, "properties" : { "noteIndex" : 0 }, "schema" : "https://github.com/citation-style-language/schema/raw/master/csl-citation.json" }</w:instrText>
      </w:r>
      <w:r w:rsidRPr="00A07A41">
        <w:rPr>
          <w:color w:val="000000" w:themeColor="text1"/>
          <w:sz w:val="24"/>
          <w:szCs w:val="24"/>
          <w:lang w:val="en-US"/>
        </w:rPr>
        <w:fldChar w:fldCharType="separate"/>
      </w:r>
      <w:r w:rsidR="00FF5F7A" w:rsidRPr="00FF5F7A">
        <w:rPr>
          <w:noProof/>
          <w:color w:val="000000" w:themeColor="text1"/>
          <w:sz w:val="24"/>
          <w:szCs w:val="24"/>
          <w:lang w:val="en-US"/>
        </w:rPr>
        <w:t>[12]</w:t>
      </w:r>
      <w:r w:rsidRPr="00A07A41">
        <w:rPr>
          <w:color w:val="000000" w:themeColor="text1"/>
          <w:sz w:val="24"/>
          <w:szCs w:val="24"/>
          <w:lang w:val="en-US"/>
        </w:rPr>
        <w:fldChar w:fldCharType="end"/>
      </w:r>
      <w:r w:rsidRPr="00A07A41">
        <w:rPr>
          <w:color w:val="000000" w:themeColor="text1"/>
          <w:sz w:val="24"/>
          <w:szCs w:val="24"/>
          <w:lang w:val="en-US"/>
        </w:rPr>
        <w:t>; Supplem</w:t>
      </w:r>
      <w:r w:rsidR="009F52AC">
        <w:rPr>
          <w:color w:val="000000" w:themeColor="text1"/>
          <w:sz w:val="24"/>
          <w:szCs w:val="24"/>
          <w:lang w:val="en-US"/>
        </w:rPr>
        <w:t>entary table 2 and 3</w:t>
      </w:r>
      <w:r w:rsidRPr="00A07A41">
        <w:rPr>
          <w:color w:val="000000" w:themeColor="text1"/>
          <w:sz w:val="24"/>
          <w:szCs w:val="24"/>
          <w:lang w:val="en-US"/>
        </w:rPr>
        <w:t xml:space="preserve">). The program was run using the following protocol: 50°C for 2 min, 95°C for 10 min, 30 cycles of 95°C for 15s and 60°C for 1 min and 95°C for 30 seconds. Melting curves were run to evaluate the specificity of the real-time PCR signal. Samples were prepared with 400 </w:t>
      </w:r>
      <w:proofErr w:type="spellStart"/>
      <w:r w:rsidRPr="00A07A41">
        <w:rPr>
          <w:color w:val="000000" w:themeColor="text1"/>
          <w:sz w:val="24"/>
          <w:szCs w:val="24"/>
          <w:lang w:val="en-US"/>
        </w:rPr>
        <w:t>nM</w:t>
      </w:r>
      <w:proofErr w:type="spellEnd"/>
      <w:r w:rsidRPr="00A07A41">
        <w:rPr>
          <w:color w:val="000000" w:themeColor="text1"/>
          <w:sz w:val="24"/>
          <w:szCs w:val="24"/>
          <w:lang w:val="en-US"/>
        </w:rPr>
        <w:t xml:space="preserve"> forward and reverse primer, 2x Power SYBR Green PCR master mix, 100 to 0.1ng of template DNA and distilled water.</w:t>
      </w:r>
    </w:p>
    <w:p w14:paraId="58E9B98F" w14:textId="77777777" w:rsidR="002C451C" w:rsidRPr="00FD04FB" w:rsidRDefault="002C451C" w:rsidP="002C451C">
      <w:pPr>
        <w:spacing w:line="480" w:lineRule="auto"/>
        <w:rPr>
          <w:rStyle w:val="SubtleEmphasis"/>
          <w:b/>
          <w:i w:val="0"/>
          <w:sz w:val="24"/>
          <w:szCs w:val="24"/>
          <w:lang w:val="en-US"/>
        </w:rPr>
      </w:pPr>
      <w:r w:rsidRPr="00FD04FB">
        <w:rPr>
          <w:rStyle w:val="SubtleEmphasis"/>
          <w:b/>
          <w:i w:val="0"/>
          <w:sz w:val="24"/>
          <w:szCs w:val="24"/>
          <w:lang w:val="en-US"/>
        </w:rPr>
        <w:t xml:space="preserve">Calculation of </w:t>
      </w:r>
      <w:proofErr w:type="spellStart"/>
      <w:r w:rsidRPr="00FD04FB">
        <w:rPr>
          <w:rStyle w:val="SubtleEmphasis"/>
          <w:b/>
          <w:i w:val="0"/>
          <w:sz w:val="24"/>
          <w:szCs w:val="24"/>
          <w:lang w:val="en-US"/>
        </w:rPr>
        <w:t>qPCR</w:t>
      </w:r>
      <w:proofErr w:type="spellEnd"/>
      <w:r w:rsidRPr="00FD04FB">
        <w:rPr>
          <w:rStyle w:val="SubtleEmphasis"/>
          <w:b/>
          <w:i w:val="0"/>
          <w:sz w:val="24"/>
          <w:szCs w:val="24"/>
          <w:lang w:val="en-US"/>
        </w:rPr>
        <w:t xml:space="preserve"> efficiencies</w:t>
      </w:r>
    </w:p>
    <w:p w14:paraId="19808808" w14:textId="77777777" w:rsidR="002C451C" w:rsidRPr="00A07A41" w:rsidRDefault="002C451C" w:rsidP="002C451C">
      <w:pPr>
        <w:spacing w:line="480" w:lineRule="auto"/>
        <w:rPr>
          <w:rFonts w:eastAsiaTheme="minorEastAsia"/>
          <w:color w:val="000000" w:themeColor="text1"/>
          <w:sz w:val="24"/>
          <w:szCs w:val="24"/>
          <w:lang w:val="en-US"/>
        </w:rPr>
      </w:pPr>
      <w:r w:rsidRPr="00A07A41">
        <w:rPr>
          <w:color w:val="000000" w:themeColor="text1"/>
          <w:sz w:val="24"/>
          <w:szCs w:val="24"/>
          <w:lang w:val="en-US"/>
        </w:rPr>
        <w:t xml:space="preserve">We used the formula </w:t>
      </w:r>
      <m:oMath>
        <m:r>
          <w:rPr>
            <w:rFonts w:ascii="Cambria Math" w:hAnsi="Cambria Math"/>
            <w:color w:val="000000" w:themeColor="text1"/>
            <w:sz w:val="24"/>
            <w:szCs w:val="24"/>
            <w:lang w:val="en-US"/>
          </w:rPr>
          <m:t xml:space="preserve">E= </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lang w:val="en-US"/>
              </w:rPr>
              <m:t>10</m:t>
            </m:r>
          </m:e>
          <m:sup>
            <w:proofErr w:type="gramStart"/>
            <m:r>
              <w:rPr>
                <w:rFonts w:ascii="Cambria Math" w:hAnsi="Cambria Math"/>
                <w:color w:val="000000" w:themeColor="text1"/>
                <w:sz w:val="24"/>
                <w:szCs w:val="24"/>
                <w:lang w:val="en-US"/>
              </w:rPr>
              <m:t>( -</m:t>
            </m:r>
            <w:proofErr w:type="gramEnd"/>
            <m:r>
              <w:rPr>
                <w:rFonts w:ascii="Cambria Math" w:hAnsi="Cambria Math"/>
                <w:color w:val="000000" w:themeColor="text1"/>
                <w:sz w:val="24"/>
                <w:szCs w:val="24"/>
                <w:lang w:val="en-US"/>
              </w:rPr>
              <m:t xml:space="preserve"> </m:t>
            </m:r>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1</m:t>
                </m:r>
              </m:num>
              <m:den>
                <m:r>
                  <w:rPr>
                    <w:rFonts w:ascii="Cambria Math" w:hAnsi="Cambria Math"/>
                    <w:color w:val="000000" w:themeColor="text1"/>
                    <w:sz w:val="24"/>
                    <w:szCs w:val="24"/>
                    <w:lang w:val="en-US"/>
                  </w:rPr>
                  <m:t>slope</m:t>
                </m:r>
              </m:den>
            </m:f>
            <m:r>
              <w:rPr>
                <w:rFonts w:ascii="Cambria Math" w:hAnsi="Cambria Math"/>
                <w:color w:val="000000" w:themeColor="text1"/>
                <w:sz w:val="24"/>
                <w:szCs w:val="24"/>
                <w:lang w:val="en-US"/>
              </w:rPr>
              <m:t>)</m:t>
            </m:r>
          </m:sup>
        </m:sSup>
      </m:oMath>
      <w:r w:rsidRPr="00A07A41">
        <w:rPr>
          <w:rFonts w:eastAsiaTheme="minorEastAsia"/>
          <w:color w:val="000000" w:themeColor="text1"/>
          <w:sz w:val="24"/>
          <w:szCs w:val="24"/>
          <w:lang w:val="en-US"/>
        </w:rPr>
        <w:t xml:space="preserve"> to calculate the primer efficiencies </w:t>
      </w:r>
      <w:r w:rsidRPr="00A07A41">
        <w:rPr>
          <w:rFonts w:eastAsiaTheme="minorEastAsia"/>
          <w:color w:val="000000" w:themeColor="text1"/>
          <w:sz w:val="24"/>
          <w:szCs w:val="24"/>
          <w:lang w:val="en-US"/>
        </w:rPr>
        <w:fldChar w:fldCharType="begin" w:fldLock="1"/>
      </w:r>
      <w:r w:rsidR="00FF5F7A">
        <w:rPr>
          <w:rFonts w:eastAsiaTheme="minorEastAsia"/>
          <w:color w:val="000000" w:themeColor="text1"/>
          <w:sz w:val="24"/>
          <w:szCs w:val="24"/>
          <w:lang w:val="en-US"/>
        </w:rPr>
        <w:instrText>ADDIN CSL_CITATION { "citationItems" : [ { "id" : "ITEM-1", "itemData" : { "ISBN" : "1362-4962 (Electronic)\n0305-1048 (Linking)", "PMID" : "11328886", "abstract" : "Use of the real-time polymerase chain reaction (PCR) to amplify cDNA products reverse transcribed from mRNA is on the way to becoming a routine tool in molecular biology to study low abundance gene expression. Real-time PCR is easy to perform, provides the necessary accuracy and produces reliable as well as rapid quantification results. But accurate quantification of nucleic acids requires a reproducible methodology and an adequate mathematical model for data analysis. This study enters into the particular topics of the relative quantification in real-time RT-PCR of a target gene transcript in comparison to a reference gene transcript. Therefore, a new mathematical model is presented. The relative expression ratio is calculated only from the real-time PCR efficiencies and the crossing point deviation of an unknown sample versus a control. This model needs no calibration curve. Control levels were included in the model to standardise each reaction run with respect to RNA integrity, sample loading and inter-PCR variations. High accuracy and reproducibility (&lt;2.5% variation) were reached in LightCycler PCR using the established mathematical model.", "author" : [ { "dropping-particle" : "", "family" : "Pfaffl", "given" : "M W", "non-dropping-particle" : "", "parse-names" : false, "suffix" : "" } ], "container-title" : "Nucleic Acids Res", "id" : "ITEM-1", "issue" : "9", "issued" : { "date-parts" : [ [ "2001" ] ] }, "language" : "eng", "note" : "Comparative Study\nEvaluation Studies\nJournal Article\nEngland", "page" : "e45", "title" : "A new mathematical model for relative quantification in real-time RT-PCR", "type" : "article-journal", "volume" : "29" }, "uris" : [ "http://www.mendeley.com/documents/?uuid=c6ea0542-7eda-4e07-b700-3db2119da5c9" ] } ], "mendeley" : { "formattedCitation" : "[13]", "plainTextFormattedCitation" : "[13]", "previouslyFormattedCitation" : "[10]" }, "properties" : { "noteIndex" : 0 }, "schema" : "https://github.com/citation-style-language/schema/raw/master/csl-citation.json" }</w:instrText>
      </w:r>
      <w:r w:rsidRPr="00A07A41">
        <w:rPr>
          <w:rFonts w:eastAsiaTheme="minorEastAsia"/>
          <w:color w:val="000000" w:themeColor="text1"/>
          <w:sz w:val="24"/>
          <w:szCs w:val="24"/>
          <w:lang w:val="en-US"/>
        </w:rPr>
        <w:fldChar w:fldCharType="separate"/>
      </w:r>
      <w:r w:rsidR="00FF5F7A" w:rsidRPr="00FF5F7A">
        <w:rPr>
          <w:rFonts w:eastAsiaTheme="minorEastAsia"/>
          <w:noProof/>
          <w:color w:val="000000" w:themeColor="text1"/>
          <w:sz w:val="24"/>
          <w:szCs w:val="24"/>
          <w:lang w:val="en-US"/>
        </w:rPr>
        <w:t>[13]</w:t>
      </w:r>
      <w:r w:rsidRPr="00A07A41">
        <w:rPr>
          <w:rFonts w:eastAsiaTheme="minorEastAsia"/>
          <w:color w:val="000000" w:themeColor="text1"/>
          <w:sz w:val="24"/>
          <w:szCs w:val="24"/>
          <w:lang w:val="en-US"/>
        </w:rPr>
        <w:fldChar w:fldCharType="end"/>
      </w:r>
      <w:r w:rsidRPr="00A07A41">
        <w:rPr>
          <w:rFonts w:eastAsiaTheme="minorEastAsia"/>
          <w:color w:val="000000" w:themeColor="text1"/>
          <w:sz w:val="24"/>
          <w:szCs w:val="24"/>
          <w:lang w:val="en-US"/>
        </w:rPr>
        <w:t xml:space="preserve">, in which the mentioned slope is from the curve created by the Ct values of a dilution series of DNA with each sample from the mock community group. The DNA input for each reaction to create standard curves was 100, 10, 1 and 0.1 </w:t>
      </w:r>
      <w:proofErr w:type="spellStart"/>
      <w:r w:rsidRPr="00A07A41">
        <w:rPr>
          <w:rFonts w:eastAsiaTheme="minorEastAsia"/>
          <w:color w:val="000000" w:themeColor="text1"/>
          <w:sz w:val="24"/>
          <w:szCs w:val="24"/>
          <w:lang w:val="en-US"/>
        </w:rPr>
        <w:t>ng</w:t>
      </w:r>
      <w:proofErr w:type="spellEnd"/>
      <w:r w:rsidRPr="00A07A41">
        <w:rPr>
          <w:rFonts w:eastAsiaTheme="minorEastAsia"/>
          <w:color w:val="000000" w:themeColor="text1"/>
          <w:sz w:val="24"/>
          <w:szCs w:val="24"/>
          <w:lang w:val="en-US"/>
        </w:rPr>
        <w:t xml:space="preserve"> DNA. We found that the Ct values from the reaction with 100 </w:t>
      </w:r>
      <w:proofErr w:type="spellStart"/>
      <w:r w:rsidRPr="00A07A41">
        <w:rPr>
          <w:rFonts w:eastAsiaTheme="minorEastAsia"/>
          <w:color w:val="000000" w:themeColor="text1"/>
          <w:sz w:val="24"/>
          <w:szCs w:val="24"/>
          <w:lang w:val="en-US"/>
        </w:rPr>
        <w:t>ng</w:t>
      </w:r>
      <w:proofErr w:type="spellEnd"/>
      <w:r w:rsidRPr="00A07A41">
        <w:rPr>
          <w:rFonts w:eastAsiaTheme="minorEastAsia"/>
          <w:color w:val="000000" w:themeColor="text1"/>
          <w:sz w:val="24"/>
          <w:szCs w:val="24"/>
          <w:lang w:val="en-US"/>
        </w:rPr>
        <w:t xml:space="preserve"> input DNA led to inhibition of the PCR reaction, so this value was excluded from the standard curve. The standard curves for the 5 bacterial primer</w:t>
      </w:r>
      <w:r w:rsidR="00FF5F7A">
        <w:rPr>
          <w:rFonts w:eastAsiaTheme="minorEastAsia"/>
          <w:color w:val="000000" w:themeColor="text1"/>
          <w:sz w:val="24"/>
          <w:szCs w:val="24"/>
          <w:lang w:val="en-US"/>
        </w:rPr>
        <w:t xml:space="preserve"> pairs are shown in Supplementary</w:t>
      </w:r>
      <w:r w:rsidRPr="00A07A41">
        <w:rPr>
          <w:rFonts w:eastAsiaTheme="minorEastAsia"/>
          <w:color w:val="000000" w:themeColor="text1"/>
          <w:sz w:val="24"/>
          <w:szCs w:val="24"/>
          <w:lang w:val="en-US"/>
        </w:rPr>
        <w:t xml:space="preserve"> figure 1D with </w:t>
      </w:r>
      <w:proofErr w:type="spellStart"/>
      <w:r w:rsidRPr="00A07A41">
        <w:rPr>
          <w:rFonts w:eastAsiaTheme="minorEastAsia"/>
          <w:color w:val="000000" w:themeColor="text1"/>
          <w:sz w:val="24"/>
          <w:szCs w:val="24"/>
          <w:lang w:val="en-US"/>
        </w:rPr>
        <w:t>qPCR</w:t>
      </w:r>
      <w:proofErr w:type="spellEnd"/>
      <w:r w:rsidRPr="00A07A41">
        <w:rPr>
          <w:rFonts w:eastAsiaTheme="minorEastAsia"/>
          <w:color w:val="000000" w:themeColor="text1"/>
          <w:sz w:val="24"/>
          <w:szCs w:val="24"/>
          <w:lang w:val="en-US"/>
        </w:rPr>
        <w:t xml:space="preserve"> efficiencies. </w:t>
      </w:r>
    </w:p>
    <w:p w14:paraId="72EF4FA7" w14:textId="77777777" w:rsidR="002C451C" w:rsidRPr="00FD04FB" w:rsidRDefault="002C451C" w:rsidP="002C451C">
      <w:pPr>
        <w:spacing w:line="480" w:lineRule="auto"/>
        <w:rPr>
          <w:rStyle w:val="SubtleEmphasis"/>
          <w:b/>
          <w:i w:val="0"/>
          <w:sz w:val="24"/>
          <w:szCs w:val="24"/>
          <w:lang w:val="en-US"/>
        </w:rPr>
      </w:pPr>
      <w:r w:rsidRPr="00FD04FB">
        <w:rPr>
          <w:rStyle w:val="SubtleEmphasis"/>
          <w:b/>
          <w:i w:val="0"/>
          <w:sz w:val="24"/>
          <w:szCs w:val="24"/>
          <w:lang w:val="en-US"/>
        </w:rPr>
        <w:t>Calculation of relative abundances</w:t>
      </w:r>
    </w:p>
    <w:p w14:paraId="61CFB513" w14:textId="77777777" w:rsidR="002C451C" w:rsidRDefault="002C451C" w:rsidP="002C451C">
      <w:pPr>
        <w:spacing w:line="480" w:lineRule="auto"/>
        <w:rPr>
          <w:sz w:val="24"/>
          <w:szCs w:val="24"/>
          <w:lang w:val="en-US"/>
        </w:rPr>
      </w:pPr>
      <w:r w:rsidRPr="00A07A41">
        <w:rPr>
          <w:sz w:val="24"/>
          <w:szCs w:val="24"/>
          <w:lang w:val="en-US"/>
        </w:rPr>
        <w:t xml:space="preserve">For the calculation of relative abundances (ratio) the method of </w:t>
      </w:r>
      <w:proofErr w:type="spellStart"/>
      <w:r w:rsidRPr="00A07A41">
        <w:rPr>
          <w:sz w:val="24"/>
          <w:szCs w:val="24"/>
          <w:lang w:val="en-US"/>
        </w:rPr>
        <w:t>Pfaffl</w:t>
      </w:r>
      <w:proofErr w:type="spellEnd"/>
      <w:r w:rsidRPr="00A07A41">
        <w:rPr>
          <w:sz w:val="24"/>
          <w:szCs w:val="24"/>
          <w:lang w:val="en-US"/>
        </w:rPr>
        <w:t xml:space="preserve"> et al. </w:t>
      </w:r>
      <w:r w:rsidRPr="00A07A41">
        <w:rPr>
          <w:sz w:val="24"/>
          <w:szCs w:val="24"/>
          <w:lang w:val="en-US"/>
        </w:rPr>
        <w:fldChar w:fldCharType="begin" w:fldLock="1"/>
      </w:r>
      <w:r w:rsidR="00FF5F7A">
        <w:rPr>
          <w:sz w:val="24"/>
          <w:szCs w:val="24"/>
          <w:lang w:val="en-US"/>
        </w:rPr>
        <w:instrText>ADDIN CSL_CITATION { "citationItems" : [ { "id" : "ITEM-1", "itemData" : { "ISBN" : "1362-4962 (Electronic)\n0305-1048 (Linking)", "PMID" : "11328886", "abstract" : "Use of the real-time polymerase chain reaction (PCR) to amplify cDNA products reverse transcribed from mRNA is on the way to becoming a routine tool in molecular biology to study low abundance gene expression. Real-time PCR is easy to perform, provides the necessary accuracy and produces reliable as well as rapid quantification results. But accurate quantification of nucleic acids requires a reproducible methodology and an adequate mathematical model for data analysis. This study enters into the particular topics of the relative quantification in real-time RT-PCR of a target gene transcript in comparison to a reference gene transcript. Therefore, a new mathematical model is presented. The relative expression ratio is calculated only from the real-time PCR efficiencies and the crossing point deviation of an unknown sample versus a control. This model needs no calibration curve. Control levels were included in the model to standardise each reaction run with respect to RNA integrity, sample loading and inter-PCR variations. High accuracy and reproducibility (&lt;2.5% variation) were reached in LightCycler PCR using the established mathematical model.", "author" : [ { "dropping-particle" : "", "family" : "Pfaffl", "given" : "M W", "non-dropping-particle" : "", "parse-names" : false, "suffix" : "" } ], "container-title" : "Nucleic Acids Res", "id" : "ITEM-1", "issue" : "9", "issued" : { "date-parts" : [ [ "2001" ] ] }, "language" : "eng", "note" : "Comparative Study\nEvaluation Studies\nJournal Article\nEngland", "page" : "e45", "title" : "A new mathematical model for relative quantification in real-time RT-PCR", "type" : "article-journal", "volume" : "29" }, "uris" : [ "http://www.mendeley.com/documents/?uuid=c6ea0542-7eda-4e07-b700-3db2119da5c9" ] } ], "mendeley" : { "formattedCitation" : "[13]", "plainTextFormattedCitation" : "[13]", "previouslyFormattedCitation" : "[10]" }, "properties" : { "noteIndex" : 0 }, "schema" : "https://github.com/citation-style-language/schema/raw/master/csl-citation.json" }</w:instrText>
      </w:r>
      <w:r w:rsidRPr="00A07A41">
        <w:rPr>
          <w:sz w:val="24"/>
          <w:szCs w:val="24"/>
          <w:lang w:val="en-US"/>
        </w:rPr>
        <w:fldChar w:fldCharType="separate"/>
      </w:r>
      <w:r w:rsidR="00FF5F7A" w:rsidRPr="00FF5F7A">
        <w:rPr>
          <w:noProof/>
          <w:sz w:val="24"/>
          <w:szCs w:val="24"/>
          <w:lang w:val="en-US"/>
        </w:rPr>
        <w:t>[13]</w:t>
      </w:r>
      <w:r w:rsidRPr="00A07A41">
        <w:rPr>
          <w:sz w:val="24"/>
          <w:szCs w:val="24"/>
          <w:lang w:val="en-US"/>
        </w:rPr>
        <w:fldChar w:fldCharType="end"/>
      </w:r>
      <w:r w:rsidRPr="00A07A41">
        <w:rPr>
          <w:sz w:val="24"/>
          <w:szCs w:val="24"/>
          <w:lang w:val="en-US"/>
        </w:rPr>
        <w:t xml:space="preserve"> was used using the following formula: </w:t>
      </w:r>
      <m:oMath>
        <m:r>
          <w:rPr>
            <w:rFonts w:ascii="Cambria Math" w:hAnsi="Cambria Math"/>
            <w:color w:val="000000" w:themeColor="text1"/>
            <w:sz w:val="24"/>
            <w:szCs w:val="24"/>
            <w:lang w:val="en-US"/>
          </w:rPr>
          <m:t xml:space="preserve">ratio= </m:t>
        </m:r>
        <m:r>
          <w:rPr>
            <w:rFonts w:ascii="Cambria Math" w:hAnsi="Cambria Math"/>
            <w:color w:val="000000" w:themeColor="text1"/>
            <w:sz w:val="24"/>
            <w:szCs w:val="24"/>
            <w:lang w:val="en-US"/>
          </w:rPr>
          <m:t>〖</m:t>
        </m:r>
        <m:r>
          <w:rPr>
            <w:rFonts w:ascii="Cambria Math" w:hAnsi="Cambria Math"/>
            <w:color w:val="000000" w:themeColor="text1"/>
            <w:sz w:val="24"/>
            <w:szCs w:val="24"/>
            <w:lang w:val="en-US"/>
          </w:rPr>
          <m:t>E target</m:t>
        </m:r>
        <m:r>
          <w:rPr>
            <w:rFonts w:ascii="Cambria Math" w:hAnsi="Cambria Math"/>
            <w:color w:val="000000" w:themeColor="text1"/>
            <w:sz w:val="24"/>
            <w:szCs w:val="24"/>
            <w:lang w:val="en-US"/>
          </w:rPr>
          <m:t>〗</m:t>
        </m:r>
        <m:r>
          <w:rPr>
            <w:rFonts w:ascii="Cambria Math" w:hAnsi="Cambria Math"/>
            <w:color w:val="000000" w:themeColor="text1"/>
            <w:sz w:val="24"/>
            <w:szCs w:val="24"/>
            <w:lang w:val="en-US"/>
          </w:rPr>
          <m:t>^(ΔCt (control-sample) )⁄</m:t>
        </m:r>
        <m:r>
          <w:rPr>
            <w:rFonts w:ascii="Cambria Math" w:hAnsi="Cambria Math"/>
            <w:color w:val="000000" w:themeColor="text1"/>
            <w:sz w:val="24"/>
            <w:szCs w:val="24"/>
            <w:lang w:val="en-US"/>
          </w:rPr>
          <m:t>〖</m:t>
        </m:r>
        <m:r>
          <w:rPr>
            <w:rFonts w:ascii="Cambria Math" w:hAnsi="Cambria Math"/>
            <w:color w:val="000000" w:themeColor="text1"/>
            <w:sz w:val="24"/>
            <w:szCs w:val="24"/>
            <w:lang w:val="en-US"/>
          </w:rPr>
          <m:t>E reference</m:t>
        </m:r>
        <m:r>
          <w:rPr>
            <w:rFonts w:ascii="Cambria Math" w:hAnsi="Cambria Math"/>
            <w:color w:val="000000" w:themeColor="text1"/>
            <w:sz w:val="24"/>
            <w:szCs w:val="24"/>
            <w:lang w:val="en-US"/>
          </w:rPr>
          <m:t>〗</m:t>
        </m:r>
        <m:r>
          <w:rPr>
            <w:rFonts w:ascii="Cambria Math" w:hAnsi="Cambria Math"/>
            <w:color w:val="000000" w:themeColor="text1"/>
            <w:sz w:val="24"/>
            <w:szCs w:val="24"/>
            <w:lang w:val="en-US"/>
          </w:rPr>
          <m:t>^(ΔCt (control-sample) )</m:t>
        </m:r>
      </m:oMath>
      <w:r w:rsidRPr="00A07A41">
        <w:rPr>
          <w:sz w:val="24"/>
          <w:szCs w:val="24"/>
          <w:lang w:val="en-US"/>
        </w:rPr>
        <w:t xml:space="preserve">. The ratio of each bacterial phylum (target gene) of a given sample was calculated to an internal control sample (control). </w:t>
      </w:r>
      <w:r>
        <w:rPr>
          <w:sz w:val="24"/>
          <w:szCs w:val="24"/>
          <w:lang w:val="en-US"/>
        </w:rPr>
        <w:t xml:space="preserve">As reference gene, universal 16S </w:t>
      </w:r>
      <w:proofErr w:type="spellStart"/>
      <w:r>
        <w:rPr>
          <w:sz w:val="24"/>
          <w:szCs w:val="24"/>
          <w:lang w:val="en-US"/>
        </w:rPr>
        <w:t>rD</w:t>
      </w:r>
      <w:r w:rsidRPr="00A07A41">
        <w:rPr>
          <w:sz w:val="24"/>
          <w:szCs w:val="24"/>
          <w:lang w:val="en-US"/>
        </w:rPr>
        <w:t>NA</w:t>
      </w:r>
      <w:proofErr w:type="spellEnd"/>
      <w:r w:rsidRPr="00A07A41">
        <w:rPr>
          <w:sz w:val="24"/>
          <w:szCs w:val="24"/>
          <w:lang w:val="en-US"/>
        </w:rPr>
        <w:t xml:space="preserve"> gene amplification was used for an e</w:t>
      </w:r>
      <w:r>
        <w:rPr>
          <w:sz w:val="24"/>
          <w:szCs w:val="24"/>
          <w:lang w:val="en-US"/>
        </w:rPr>
        <w:t xml:space="preserve">stimation of the total input 16S </w:t>
      </w:r>
      <w:proofErr w:type="spellStart"/>
      <w:r>
        <w:rPr>
          <w:sz w:val="24"/>
          <w:szCs w:val="24"/>
          <w:lang w:val="en-US"/>
        </w:rPr>
        <w:t>rD</w:t>
      </w:r>
      <w:r w:rsidRPr="00A07A41">
        <w:rPr>
          <w:sz w:val="24"/>
          <w:szCs w:val="24"/>
          <w:lang w:val="en-US"/>
        </w:rPr>
        <w:t>NA</w:t>
      </w:r>
      <w:proofErr w:type="spellEnd"/>
      <w:r w:rsidRPr="00A07A41">
        <w:rPr>
          <w:sz w:val="24"/>
          <w:szCs w:val="24"/>
          <w:lang w:val="en-US"/>
        </w:rPr>
        <w:t xml:space="preserve"> in the DNA sample. First </w:t>
      </w:r>
      <w:proofErr w:type="spellStart"/>
      <w:r w:rsidRPr="00A07A41">
        <w:rPr>
          <w:sz w:val="24"/>
          <w:szCs w:val="24"/>
          <w:lang w:val="en-US"/>
        </w:rPr>
        <w:t>ΔCt</w:t>
      </w:r>
      <w:proofErr w:type="spellEnd"/>
      <w:r w:rsidRPr="00A07A41">
        <w:rPr>
          <w:sz w:val="24"/>
          <w:szCs w:val="24"/>
          <w:lang w:val="en-US"/>
        </w:rPr>
        <w:t xml:space="preserve"> values were calculated by subtracting </w:t>
      </w:r>
      <w:r w:rsidRPr="00A07A41">
        <w:rPr>
          <w:sz w:val="24"/>
          <w:szCs w:val="24"/>
          <w:lang w:val="en-US"/>
        </w:rPr>
        <w:lastRenderedPageBreak/>
        <w:t xml:space="preserve">the Ct value of the OC-sensor or </w:t>
      </w:r>
      <w:proofErr w:type="spellStart"/>
      <w:r w:rsidRPr="00A07A41">
        <w:rPr>
          <w:sz w:val="24"/>
          <w:szCs w:val="24"/>
          <w:lang w:val="en-US"/>
        </w:rPr>
        <w:t>Hemoccult</w:t>
      </w:r>
      <w:proofErr w:type="spellEnd"/>
      <w:r w:rsidRPr="00A07A41">
        <w:rPr>
          <w:sz w:val="24"/>
          <w:szCs w:val="24"/>
          <w:lang w:val="en-US"/>
        </w:rPr>
        <w:t xml:space="preserve"> II from the Ct value of the internal control for each target gene and the reference gene. Next, the calculated </w:t>
      </w:r>
      <w:proofErr w:type="spellStart"/>
      <w:r w:rsidRPr="00A07A41">
        <w:rPr>
          <w:sz w:val="24"/>
          <w:szCs w:val="24"/>
          <w:lang w:val="en-US"/>
        </w:rPr>
        <w:t>qPCR</w:t>
      </w:r>
      <w:proofErr w:type="spellEnd"/>
      <w:r w:rsidRPr="00A07A41">
        <w:rPr>
          <w:sz w:val="24"/>
          <w:szCs w:val="24"/>
          <w:lang w:val="en-US"/>
        </w:rPr>
        <w:t xml:space="preserve"> efficiencies of each target phylum (</w:t>
      </w:r>
      <w:r w:rsidRPr="00A07A41">
        <w:rPr>
          <w:i/>
          <w:sz w:val="24"/>
          <w:szCs w:val="24"/>
          <w:lang w:val="en-US"/>
        </w:rPr>
        <w:t>E target</w:t>
      </w:r>
      <w:r w:rsidRPr="00A07A41">
        <w:rPr>
          <w:sz w:val="24"/>
          <w:szCs w:val="24"/>
          <w:lang w:val="en-US"/>
        </w:rPr>
        <w:t>) and the reference gene (</w:t>
      </w:r>
      <w:r w:rsidRPr="00A07A41">
        <w:rPr>
          <w:i/>
          <w:sz w:val="24"/>
          <w:szCs w:val="24"/>
          <w:lang w:val="en-US"/>
        </w:rPr>
        <w:t>E reference</w:t>
      </w:r>
      <w:r w:rsidRPr="00A07A41">
        <w:rPr>
          <w:sz w:val="24"/>
          <w:szCs w:val="24"/>
          <w:lang w:val="en-US"/>
        </w:rPr>
        <w:t>) were used to obtain ratios of the OC-se</w:t>
      </w:r>
      <w:r w:rsidRPr="00785CA2">
        <w:rPr>
          <w:sz w:val="24"/>
          <w:szCs w:val="24"/>
          <w:lang w:val="en-US"/>
        </w:rPr>
        <w:t xml:space="preserve">nsor and </w:t>
      </w:r>
      <w:proofErr w:type="spellStart"/>
      <w:r w:rsidRPr="00785CA2">
        <w:rPr>
          <w:sz w:val="24"/>
          <w:szCs w:val="24"/>
          <w:lang w:val="en-US"/>
        </w:rPr>
        <w:t>Hemoccult</w:t>
      </w:r>
      <w:proofErr w:type="spellEnd"/>
      <w:r w:rsidRPr="00785CA2">
        <w:rPr>
          <w:sz w:val="24"/>
          <w:szCs w:val="24"/>
          <w:lang w:val="en-US"/>
        </w:rPr>
        <w:t xml:space="preserve"> II relative to the reference sample. </w:t>
      </w:r>
    </w:p>
    <w:p w14:paraId="78627A08" w14:textId="77777777" w:rsidR="00FF5F7A" w:rsidRDefault="00FF5F7A" w:rsidP="002C451C">
      <w:pPr>
        <w:spacing w:line="480" w:lineRule="auto"/>
        <w:rPr>
          <w:b/>
          <w:sz w:val="24"/>
          <w:szCs w:val="24"/>
          <w:lang w:val="en-US"/>
        </w:rPr>
      </w:pPr>
      <w:r>
        <w:rPr>
          <w:b/>
          <w:sz w:val="24"/>
          <w:szCs w:val="24"/>
          <w:lang w:val="en-US"/>
        </w:rPr>
        <w:t>REFERENCES</w:t>
      </w:r>
    </w:p>
    <w:p w14:paraId="74F086D4"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Pr>
          <w:b/>
          <w:sz w:val="24"/>
          <w:szCs w:val="24"/>
          <w:lang w:val="en-US"/>
        </w:rPr>
        <w:fldChar w:fldCharType="begin" w:fldLock="1"/>
      </w:r>
      <w:r>
        <w:rPr>
          <w:b/>
          <w:sz w:val="24"/>
          <w:szCs w:val="24"/>
          <w:lang w:val="en-US"/>
        </w:rPr>
        <w:instrText xml:space="preserve">ADDIN Mendeley Bibliography CSL_BIBLIOGRAPHY </w:instrText>
      </w:r>
      <w:r>
        <w:rPr>
          <w:b/>
          <w:sz w:val="24"/>
          <w:szCs w:val="24"/>
          <w:lang w:val="en-US"/>
        </w:rPr>
        <w:fldChar w:fldCharType="separate"/>
      </w:r>
      <w:r w:rsidRPr="00FF5F7A">
        <w:rPr>
          <w:noProof/>
          <w:sz w:val="24"/>
          <w:szCs w:val="24"/>
          <w:lang w:val="en-US"/>
        </w:rPr>
        <w:t xml:space="preserve">1 </w:t>
      </w:r>
      <w:r w:rsidRPr="00FF5F7A">
        <w:rPr>
          <w:noProof/>
          <w:sz w:val="24"/>
          <w:szCs w:val="24"/>
          <w:lang w:val="en-US"/>
        </w:rPr>
        <w:tab/>
        <w:t xml:space="preserve">Kim SC, Tonkonogy SL, Albright CA, </w:t>
      </w:r>
      <w:r w:rsidRPr="00FF5F7A">
        <w:rPr>
          <w:i/>
          <w:iCs/>
          <w:noProof/>
          <w:sz w:val="24"/>
          <w:szCs w:val="24"/>
          <w:lang w:val="en-US"/>
        </w:rPr>
        <w:t>et al.</w:t>
      </w:r>
      <w:r w:rsidRPr="00FF5F7A">
        <w:rPr>
          <w:noProof/>
          <w:sz w:val="24"/>
          <w:szCs w:val="24"/>
          <w:lang w:val="en-US"/>
        </w:rPr>
        <w:t xml:space="preserve"> Variable phenotypes of enterocolitis in interleukin 10-deficient mice monoassociated with two different commensal bacteria. </w:t>
      </w:r>
      <w:r w:rsidRPr="00FF5F7A">
        <w:rPr>
          <w:i/>
          <w:iCs/>
          <w:noProof/>
          <w:sz w:val="24"/>
          <w:szCs w:val="24"/>
          <w:lang w:val="en-US"/>
        </w:rPr>
        <w:t>Gastroenterology</w:t>
      </w:r>
      <w:r w:rsidRPr="00FF5F7A">
        <w:rPr>
          <w:noProof/>
          <w:sz w:val="24"/>
          <w:szCs w:val="24"/>
          <w:lang w:val="en-US"/>
        </w:rPr>
        <w:t xml:space="preserve"> 2005;</w:t>
      </w:r>
      <w:r w:rsidRPr="00FF5F7A">
        <w:rPr>
          <w:b/>
          <w:bCs w:val="0"/>
          <w:noProof/>
          <w:sz w:val="24"/>
          <w:szCs w:val="24"/>
          <w:lang w:val="en-US"/>
        </w:rPr>
        <w:t>128</w:t>
      </w:r>
      <w:r w:rsidRPr="00FF5F7A">
        <w:rPr>
          <w:noProof/>
          <w:sz w:val="24"/>
          <w:szCs w:val="24"/>
          <w:lang w:val="en-US"/>
        </w:rPr>
        <w:t>:891–906.</w:t>
      </w:r>
    </w:p>
    <w:p w14:paraId="4A717205"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2 </w:t>
      </w:r>
      <w:r w:rsidRPr="00FF5F7A">
        <w:rPr>
          <w:noProof/>
          <w:sz w:val="24"/>
          <w:szCs w:val="24"/>
          <w:lang w:val="en-US"/>
        </w:rPr>
        <w:tab/>
        <w:t xml:space="preserve">Boleij A, Muytjens CMJ, Bukhari SI, </w:t>
      </w:r>
      <w:r w:rsidRPr="00FF5F7A">
        <w:rPr>
          <w:i/>
          <w:iCs/>
          <w:noProof/>
          <w:sz w:val="24"/>
          <w:szCs w:val="24"/>
          <w:lang w:val="en-US"/>
        </w:rPr>
        <w:t>et al.</w:t>
      </w:r>
      <w:r w:rsidRPr="00FF5F7A">
        <w:rPr>
          <w:noProof/>
          <w:sz w:val="24"/>
          <w:szCs w:val="24"/>
          <w:lang w:val="en-US"/>
        </w:rPr>
        <w:t xml:space="preserve"> Novel clues on the specific association of Streptococcus gallolyticus subsp gallolyticus with colorectal cancer. </w:t>
      </w:r>
      <w:r w:rsidRPr="00FF5F7A">
        <w:rPr>
          <w:i/>
          <w:iCs/>
          <w:noProof/>
          <w:sz w:val="24"/>
          <w:szCs w:val="24"/>
          <w:lang w:val="en-US"/>
        </w:rPr>
        <w:t>J Infect Dis</w:t>
      </w:r>
      <w:r w:rsidRPr="00FF5F7A">
        <w:rPr>
          <w:noProof/>
          <w:sz w:val="24"/>
          <w:szCs w:val="24"/>
          <w:lang w:val="en-US"/>
        </w:rPr>
        <w:t xml:space="preserve"> 2011;</w:t>
      </w:r>
      <w:r w:rsidRPr="00FF5F7A">
        <w:rPr>
          <w:b/>
          <w:bCs w:val="0"/>
          <w:noProof/>
          <w:sz w:val="24"/>
          <w:szCs w:val="24"/>
          <w:lang w:val="en-US"/>
        </w:rPr>
        <w:t>203</w:t>
      </w:r>
      <w:r w:rsidRPr="00FF5F7A">
        <w:rPr>
          <w:noProof/>
          <w:sz w:val="24"/>
          <w:szCs w:val="24"/>
          <w:lang w:val="en-US"/>
        </w:rPr>
        <w:t>:1101–9.</w:t>
      </w:r>
    </w:p>
    <w:p w14:paraId="7D2FFF28"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3 </w:t>
      </w:r>
      <w:r w:rsidRPr="00FF5F7A">
        <w:rPr>
          <w:noProof/>
          <w:sz w:val="24"/>
          <w:szCs w:val="24"/>
          <w:lang w:val="en-US"/>
        </w:rPr>
        <w:tab/>
        <w:t xml:space="preserve">Nechvatal JM, Ram JL, Basson MD, </w:t>
      </w:r>
      <w:r w:rsidRPr="00FF5F7A">
        <w:rPr>
          <w:i/>
          <w:iCs/>
          <w:noProof/>
          <w:sz w:val="24"/>
          <w:szCs w:val="24"/>
          <w:lang w:val="en-US"/>
        </w:rPr>
        <w:t>et al.</w:t>
      </w:r>
      <w:r w:rsidRPr="00FF5F7A">
        <w:rPr>
          <w:noProof/>
          <w:sz w:val="24"/>
          <w:szCs w:val="24"/>
          <w:lang w:val="en-US"/>
        </w:rPr>
        <w:t xml:space="preserve"> Fecal collection, ambient preservation, and DNA extraction for PCR amplification of bacterial and human markers from human feces. </w:t>
      </w:r>
      <w:r w:rsidRPr="00FF5F7A">
        <w:rPr>
          <w:i/>
          <w:iCs/>
          <w:noProof/>
          <w:sz w:val="24"/>
          <w:szCs w:val="24"/>
          <w:lang w:val="en-US"/>
        </w:rPr>
        <w:t>J Microbiol Methods</w:t>
      </w:r>
      <w:r w:rsidRPr="00FF5F7A">
        <w:rPr>
          <w:noProof/>
          <w:sz w:val="24"/>
          <w:szCs w:val="24"/>
          <w:lang w:val="en-US"/>
        </w:rPr>
        <w:t xml:space="preserve"> 2008;</w:t>
      </w:r>
      <w:r w:rsidRPr="00FF5F7A">
        <w:rPr>
          <w:b/>
          <w:bCs w:val="0"/>
          <w:noProof/>
          <w:sz w:val="24"/>
          <w:szCs w:val="24"/>
          <w:lang w:val="en-US"/>
        </w:rPr>
        <w:t>72</w:t>
      </w:r>
      <w:r w:rsidRPr="00FF5F7A">
        <w:rPr>
          <w:noProof/>
          <w:sz w:val="24"/>
          <w:szCs w:val="24"/>
          <w:lang w:val="en-US"/>
        </w:rPr>
        <w:t>:124–32. doi:10.1016/j.mimet.2007.11.007</w:t>
      </w:r>
    </w:p>
    <w:p w14:paraId="355C9D77"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4 </w:t>
      </w:r>
      <w:r w:rsidRPr="00FF5F7A">
        <w:rPr>
          <w:noProof/>
          <w:sz w:val="24"/>
          <w:szCs w:val="24"/>
          <w:lang w:val="en-US"/>
        </w:rPr>
        <w:tab/>
        <w:t xml:space="preserve">Kennedy NA, Walker AW, Berry SH, </w:t>
      </w:r>
      <w:r w:rsidRPr="00FF5F7A">
        <w:rPr>
          <w:i/>
          <w:iCs/>
          <w:noProof/>
          <w:sz w:val="24"/>
          <w:szCs w:val="24"/>
          <w:lang w:val="en-US"/>
        </w:rPr>
        <w:t>et al.</w:t>
      </w:r>
      <w:r w:rsidRPr="00FF5F7A">
        <w:rPr>
          <w:noProof/>
          <w:sz w:val="24"/>
          <w:szCs w:val="24"/>
          <w:lang w:val="en-US"/>
        </w:rPr>
        <w:t xml:space="preserve"> The impact of different DNA extraction kits and laboratories upon the assessment of human gut microbiota composition by 16S rRNA gene sequencing. </w:t>
      </w:r>
      <w:r w:rsidRPr="00FF5F7A">
        <w:rPr>
          <w:i/>
          <w:iCs/>
          <w:noProof/>
          <w:sz w:val="24"/>
          <w:szCs w:val="24"/>
          <w:lang w:val="en-US"/>
        </w:rPr>
        <w:t>PLoS One</w:t>
      </w:r>
      <w:r w:rsidRPr="00FF5F7A">
        <w:rPr>
          <w:noProof/>
          <w:sz w:val="24"/>
          <w:szCs w:val="24"/>
          <w:lang w:val="en-US"/>
        </w:rPr>
        <w:t xml:space="preserve"> 2014;</w:t>
      </w:r>
      <w:r w:rsidRPr="00FF5F7A">
        <w:rPr>
          <w:b/>
          <w:bCs w:val="0"/>
          <w:noProof/>
          <w:sz w:val="24"/>
          <w:szCs w:val="24"/>
          <w:lang w:val="en-US"/>
        </w:rPr>
        <w:t>9</w:t>
      </w:r>
      <w:r w:rsidRPr="00FF5F7A">
        <w:rPr>
          <w:noProof/>
          <w:sz w:val="24"/>
          <w:szCs w:val="24"/>
          <w:lang w:val="en-US"/>
        </w:rPr>
        <w:t>:e88982. doi:10.1371/journal.pone.0088982</w:t>
      </w:r>
    </w:p>
    <w:p w14:paraId="3D11A27E"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5 </w:t>
      </w:r>
      <w:r w:rsidRPr="00FF5F7A">
        <w:rPr>
          <w:noProof/>
          <w:sz w:val="24"/>
          <w:szCs w:val="24"/>
          <w:lang w:val="en-US"/>
        </w:rPr>
        <w:tab/>
        <w:t xml:space="preserve">Tyler AD, Smith MI, Silverberg MS. Analyzing the human microbiome: a ‘how to’ guide for physicians. </w:t>
      </w:r>
      <w:r w:rsidRPr="00FF5F7A">
        <w:rPr>
          <w:i/>
          <w:iCs/>
          <w:noProof/>
          <w:sz w:val="24"/>
          <w:szCs w:val="24"/>
          <w:lang w:val="en-US"/>
        </w:rPr>
        <w:t>Am J Gastroenterol</w:t>
      </w:r>
      <w:r w:rsidRPr="00FF5F7A">
        <w:rPr>
          <w:noProof/>
          <w:sz w:val="24"/>
          <w:szCs w:val="24"/>
          <w:lang w:val="en-US"/>
        </w:rPr>
        <w:t xml:space="preserve"> 2014;</w:t>
      </w:r>
      <w:r w:rsidRPr="00FF5F7A">
        <w:rPr>
          <w:b/>
          <w:bCs w:val="0"/>
          <w:noProof/>
          <w:sz w:val="24"/>
          <w:szCs w:val="24"/>
          <w:lang w:val="en-US"/>
        </w:rPr>
        <w:t>109</w:t>
      </w:r>
      <w:r w:rsidRPr="00FF5F7A">
        <w:rPr>
          <w:noProof/>
          <w:sz w:val="24"/>
          <w:szCs w:val="24"/>
          <w:lang w:val="en-US"/>
        </w:rPr>
        <w:t>:983–93. doi:10.1038/ajg.2014.73</w:t>
      </w:r>
    </w:p>
    <w:p w14:paraId="68938174"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6 </w:t>
      </w:r>
      <w:r w:rsidRPr="00FF5F7A">
        <w:rPr>
          <w:noProof/>
          <w:sz w:val="24"/>
          <w:szCs w:val="24"/>
          <w:lang w:val="en-US"/>
        </w:rPr>
        <w:tab/>
        <w:t xml:space="preserve">A framework for human microbiome research. </w:t>
      </w:r>
      <w:r w:rsidRPr="00FF5F7A">
        <w:rPr>
          <w:i/>
          <w:iCs/>
          <w:noProof/>
          <w:sz w:val="24"/>
          <w:szCs w:val="24"/>
          <w:lang w:val="en-US"/>
        </w:rPr>
        <w:t>Nature</w:t>
      </w:r>
      <w:r w:rsidRPr="00FF5F7A">
        <w:rPr>
          <w:noProof/>
          <w:sz w:val="24"/>
          <w:szCs w:val="24"/>
          <w:lang w:val="en-US"/>
        </w:rPr>
        <w:t xml:space="preserve"> 2012;</w:t>
      </w:r>
      <w:r w:rsidRPr="00FF5F7A">
        <w:rPr>
          <w:b/>
          <w:bCs w:val="0"/>
          <w:noProof/>
          <w:sz w:val="24"/>
          <w:szCs w:val="24"/>
          <w:lang w:val="en-US"/>
        </w:rPr>
        <w:t>486</w:t>
      </w:r>
      <w:r w:rsidRPr="00FF5F7A">
        <w:rPr>
          <w:noProof/>
          <w:sz w:val="24"/>
          <w:szCs w:val="24"/>
          <w:lang w:val="en-US"/>
        </w:rPr>
        <w:t>:215–21. doi:10.1038/nature11209</w:t>
      </w:r>
    </w:p>
    <w:p w14:paraId="7DDA3C7E"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7 </w:t>
      </w:r>
      <w:r w:rsidRPr="00FF5F7A">
        <w:rPr>
          <w:noProof/>
          <w:sz w:val="24"/>
          <w:szCs w:val="24"/>
          <w:lang w:val="en-US"/>
        </w:rPr>
        <w:tab/>
        <w:t xml:space="preserve">Ariefdjohan MW, Savaiano DA, Nakatsu CH. Comparison of DNA extraction kits for PCR-DGGE analysis of human intestinal microbial communities from fecal specimens. </w:t>
      </w:r>
      <w:r w:rsidRPr="00FF5F7A">
        <w:rPr>
          <w:i/>
          <w:iCs/>
          <w:noProof/>
          <w:sz w:val="24"/>
          <w:szCs w:val="24"/>
          <w:lang w:val="en-US"/>
        </w:rPr>
        <w:t>Nutr J</w:t>
      </w:r>
      <w:r w:rsidRPr="00FF5F7A">
        <w:rPr>
          <w:noProof/>
          <w:sz w:val="24"/>
          <w:szCs w:val="24"/>
          <w:lang w:val="en-US"/>
        </w:rPr>
        <w:t xml:space="preserve"> 2010;</w:t>
      </w:r>
      <w:r w:rsidRPr="00FF5F7A">
        <w:rPr>
          <w:b/>
          <w:bCs w:val="0"/>
          <w:noProof/>
          <w:sz w:val="24"/>
          <w:szCs w:val="24"/>
          <w:lang w:val="en-US"/>
        </w:rPr>
        <w:t>9</w:t>
      </w:r>
      <w:r w:rsidRPr="00FF5F7A">
        <w:rPr>
          <w:noProof/>
          <w:sz w:val="24"/>
          <w:szCs w:val="24"/>
          <w:lang w:val="en-US"/>
        </w:rPr>
        <w:t>:23. doi:10.1186/1475-2891-9-23</w:t>
      </w:r>
    </w:p>
    <w:p w14:paraId="384FA98E"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8 </w:t>
      </w:r>
      <w:r w:rsidRPr="00FF5F7A">
        <w:rPr>
          <w:noProof/>
          <w:sz w:val="24"/>
          <w:szCs w:val="24"/>
          <w:lang w:val="en-US"/>
        </w:rPr>
        <w:tab/>
        <w:t xml:space="preserve">Walker AW, Martin JC, Scott P, </w:t>
      </w:r>
      <w:r w:rsidRPr="00FF5F7A">
        <w:rPr>
          <w:i/>
          <w:iCs/>
          <w:noProof/>
          <w:sz w:val="24"/>
          <w:szCs w:val="24"/>
          <w:lang w:val="en-US"/>
        </w:rPr>
        <w:t>et al.</w:t>
      </w:r>
      <w:r w:rsidRPr="00FF5F7A">
        <w:rPr>
          <w:noProof/>
          <w:sz w:val="24"/>
          <w:szCs w:val="24"/>
          <w:lang w:val="en-US"/>
        </w:rPr>
        <w:t xml:space="preserve"> 16S rRNA gene-based profiling of the human infant gut microbiota is strongly influenced by sample processing and PCR primer choice. </w:t>
      </w:r>
      <w:r w:rsidRPr="00FF5F7A">
        <w:rPr>
          <w:i/>
          <w:iCs/>
          <w:noProof/>
          <w:sz w:val="24"/>
          <w:szCs w:val="24"/>
          <w:lang w:val="en-US"/>
        </w:rPr>
        <w:t>Microbiome</w:t>
      </w:r>
      <w:r w:rsidRPr="00FF5F7A">
        <w:rPr>
          <w:noProof/>
          <w:sz w:val="24"/>
          <w:szCs w:val="24"/>
          <w:lang w:val="en-US"/>
        </w:rPr>
        <w:t xml:space="preserve"> 2015;</w:t>
      </w:r>
      <w:r w:rsidRPr="00FF5F7A">
        <w:rPr>
          <w:b/>
          <w:bCs w:val="0"/>
          <w:noProof/>
          <w:sz w:val="24"/>
          <w:szCs w:val="24"/>
          <w:lang w:val="en-US"/>
        </w:rPr>
        <w:t>3</w:t>
      </w:r>
      <w:r w:rsidRPr="00FF5F7A">
        <w:rPr>
          <w:noProof/>
          <w:sz w:val="24"/>
          <w:szCs w:val="24"/>
          <w:lang w:val="en-US"/>
        </w:rPr>
        <w:t>:26. doi:10.1186/s40168-015-0087-4</w:t>
      </w:r>
    </w:p>
    <w:p w14:paraId="6328891F"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9 </w:t>
      </w:r>
      <w:r w:rsidRPr="00FF5F7A">
        <w:rPr>
          <w:noProof/>
          <w:sz w:val="24"/>
          <w:szCs w:val="24"/>
          <w:lang w:val="en-US"/>
        </w:rPr>
        <w:tab/>
        <w:t xml:space="preserve">Yuan S, Cohen DB, Ravel J, </w:t>
      </w:r>
      <w:r w:rsidRPr="00FF5F7A">
        <w:rPr>
          <w:i/>
          <w:iCs/>
          <w:noProof/>
          <w:sz w:val="24"/>
          <w:szCs w:val="24"/>
          <w:lang w:val="en-US"/>
        </w:rPr>
        <w:t>et al.</w:t>
      </w:r>
      <w:r w:rsidRPr="00FF5F7A">
        <w:rPr>
          <w:noProof/>
          <w:sz w:val="24"/>
          <w:szCs w:val="24"/>
          <w:lang w:val="en-US"/>
        </w:rPr>
        <w:t xml:space="preserve"> Evaluation of methods for the extraction and purification of DNA from the human microbiome. </w:t>
      </w:r>
      <w:r w:rsidRPr="00FF5F7A">
        <w:rPr>
          <w:i/>
          <w:iCs/>
          <w:noProof/>
          <w:sz w:val="24"/>
          <w:szCs w:val="24"/>
          <w:lang w:val="en-US"/>
        </w:rPr>
        <w:t>PLoS One</w:t>
      </w:r>
      <w:r w:rsidRPr="00FF5F7A">
        <w:rPr>
          <w:noProof/>
          <w:sz w:val="24"/>
          <w:szCs w:val="24"/>
          <w:lang w:val="en-US"/>
        </w:rPr>
        <w:t xml:space="preserve"> 2012;</w:t>
      </w:r>
      <w:r w:rsidRPr="00FF5F7A">
        <w:rPr>
          <w:b/>
          <w:bCs w:val="0"/>
          <w:noProof/>
          <w:sz w:val="24"/>
          <w:szCs w:val="24"/>
          <w:lang w:val="en-US"/>
        </w:rPr>
        <w:t>7</w:t>
      </w:r>
      <w:r w:rsidRPr="00FF5F7A">
        <w:rPr>
          <w:noProof/>
          <w:sz w:val="24"/>
          <w:szCs w:val="24"/>
          <w:lang w:val="en-US"/>
        </w:rPr>
        <w:t>:e33865. doi:10.1371/journal.pone.0033865</w:t>
      </w:r>
    </w:p>
    <w:p w14:paraId="2521509E"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10 </w:t>
      </w:r>
      <w:r w:rsidRPr="00FF5F7A">
        <w:rPr>
          <w:noProof/>
          <w:sz w:val="24"/>
          <w:szCs w:val="24"/>
          <w:lang w:val="en-US"/>
        </w:rPr>
        <w:tab/>
        <w:t xml:space="preserve">Yang Y-W, Chen M-K, Yang B-Y, </w:t>
      </w:r>
      <w:r w:rsidRPr="00FF5F7A">
        <w:rPr>
          <w:i/>
          <w:iCs/>
          <w:noProof/>
          <w:sz w:val="24"/>
          <w:szCs w:val="24"/>
          <w:lang w:val="en-US"/>
        </w:rPr>
        <w:t>et al.</w:t>
      </w:r>
      <w:r w:rsidRPr="00FF5F7A">
        <w:rPr>
          <w:noProof/>
          <w:sz w:val="24"/>
          <w:szCs w:val="24"/>
          <w:lang w:val="en-US"/>
        </w:rPr>
        <w:t xml:space="preserve"> Use of 16S rRNA Gene-Targeted Group-Specific Primers for Real-Time PCR Analysis of Predominant Bacteria in Mouse Feces. </w:t>
      </w:r>
      <w:r w:rsidRPr="00FF5F7A">
        <w:rPr>
          <w:i/>
          <w:iCs/>
          <w:noProof/>
          <w:sz w:val="24"/>
          <w:szCs w:val="24"/>
          <w:lang w:val="en-US"/>
        </w:rPr>
        <w:t>Appl Environ Microbiol</w:t>
      </w:r>
      <w:r w:rsidRPr="00FF5F7A">
        <w:rPr>
          <w:noProof/>
          <w:sz w:val="24"/>
          <w:szCs w:val="24"/>
          <w:lang w:val="en-US"/>
        </w:rPr>
        <w:t xml:space="preserve"> 2015;</w:t>
      </w:r>
      <w:r w:rsidRPr="00FF5F7A">
        <w:rPr>
          <w:b/>
          <w:bCs w:val="0"/>
          <w:noProof/>
          <w:sz w:val="24"/>
          <w:szCs w:val="24"/>
          <w:lang w:val="en-US"/>
        </w:rPr>
        <w:t>81</w:t>
      </w:r>
      <w:r w:rsidRPr="00FF5F7A">
        <w:rPr>
          <w:noProof/>
          <w:sz w:val="24"/>
          <w:szCs w:val="24"/>
          <w:lang w:val="en-US"/>
        </w:rPr>
        <w:t>:6749–56.</w:t>
      </w:r>
    </w:p>
    <w:p w14:paraId="0A1E7586"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11 </w:t>
      </w:r>
      <w:r w:rsidRPr="00FF5F7A">
        <w:rPr>
          <w:noProof/>
          <w:sz w:val="24"/>
          <w:szCs w:val="24"/>
          <w:lang w:val="en-US"/>
        </w:rPr>
        <w:tab/>
        <w:t xml:space="preserve">Bacchetti De Gregoris T, Aldred N, Clare AS, </w:t>
      </w:r>
      <w:r w:rsidRPr="00FF5F7A">
        <w:rPr>
          <w:i/>
          <w:iCs/>
          <w:noProof/>
          <w:sz w:val="24"/>
          <w:szCs w:val="24"/>
          <w:lang w:val="en-US"/>
        </w:rPr>
        <w:t>et al.</w:t>
      </w:r>
      <w:r w:rsidRPr="00FF5F7A">
        <w:rPr>
          <w:noProof/>
          <w:sz w:val="24"/>
          <w:szCs w:val="24"/>
          <w:lang w:val="en-US"/>
        </w:rPr>
        <w:t xml:space="preserve"> Improvement of phylum- and class-specific primers for real-time PCR quantification of bacterial taxa. </w:t>
      </w:r>
      <w:r w:rsidRPr="00FF5F7A">
        <w:rPr>
          <w:i/>
          <w:iCs/>
          <w:noProof/>
          <w:sz w:val="24"/>
          <w:szCs w:val="24"/>
          <w:lang w:val="en-US"/>
        </w:rPr>
        <w:t>J Microbiol Methods</w:t>
      </w:r>
      <w:r w:rsidRPr="00FF5F7A">
        <w:rPr>
          <w:noProof/>
          <w:sz w:val="24"/>
          <w:szCs w:val="24"/>
          <w:lang w:val="en-US"/>
        </w:rPr>
        <w:t xml:space="preserve"> 2011;</w:t>
      </w:r>
      <w:r w:rsidRPr="00FF5F7A">
        <w:rPr>
          <w:b/>
          <w:bCs w:val="0"/>
          <w:noProof/>
          <w:sz w:val="24"/>
          <w:szCs w:val="24"/>
          <w:lang w:val="en-US"/>
        </w:rPr>
        <w:t>86</w:t>
      </w:r>
      <w:r w:rsidRPr="00FF5F7A">
        <w:rPr>
          <w:noProof/>
          <w:sz w:val="24"/>
          <w:szCs w:val="24"/>
          <w:lang w:val="en-US"/>
        </w:rPr>
        <w:t>:351–6. doi:10.1016/j.mimet.2011.06.010</w:t>
      </w:r>
    </w:p>
    <w:p w14:paraId="4D8F4B07" w14:textId="77777777" w:rsidR="00FF5F7A" w:rsidRPr="00FF5F7A" w:rsidRDefault="00FF5F7A" w:rsidP="00FF5F7A">
      <w:pPr>
        <w:widowControl w:val="0"/>
        <w:autoSpaceDE w:val="0"/>
        <w:autoSpaceDN w:val="0"/>
        <w:adjustRightInd w:val="0"/>
        <w:spacing w:line="480" w:lineRule="auto"/>
        <w:ind w:left="640" w:hanging="640"/>
        <w:rPr>
          <w:noProof/>
          <w:sz w:val="24"/>
          <w:szCs w:val="24"/>
          <w:lang w:val="en-US"/>
        </w:rPr>
      </w:pPr>
      <w:r w:rsidRPr="00FF5F7A">
        <w:rPr>
          <w:noProof/>
          <w:sz w:val="24"/>
          <w:szCs w:val="24"/>
          <w:lang w:val="en-US"/>
        </w:rPr>
        <w:t xml:space="preserve">12 </w:t>
      </w:r>
      <w:r w:rsidRPr="00FF5F7A">
        <w:rPr>
          <w:noProof/>
          <w:sz w:val="24"/>
          <w:szCs w:val="24"/>
          <w:lang w:val="en-US"/>
        </w:rPr>
        <w:tab/>
        <w:t xml:space="preserve">Cole JR, Wang Q, Fish JA, </w:t>
      </w:r>
      <w:r w:rsidRPr="00FF5F7A">
        <w:rPr>
          <w:i/>
          <w:iCs/>
          <w:noProof/>
          <w:sz w:val="24"/>
          <w:szCs w:val="24"/>
          <w:lang w:val="en-US"/>
        </w:rPr>
        <w:t>et al.</w:t>
      </w:r>
      <w:r w:rsidRPr="00FF5F7A">
        <w:rPr>
          <w:noProof/>
          <w:sz w:val="24"/>
          <w:szCs w:val="24"/>
          <w:lang w:val="en-US"/>
        </w:rPr>
        <w:t xml:space="preserve"> Ribosomal Database Project: data and tools for high throughput rRNA analysis. </w:t>
      </w:r>
      <w:r w:rsidRPr="00FF5F7A">
        <w:rPr>
          <w:i/>
          <w:iCs/>
          <w:noProof/>
          <w:sz w:val="24"/>
          <w:szCs w:val="24"/>
          <w:lang w:val="en-US"/>
        </w:rPr>
        <w:t>Nucleic Acids Res</w:t>
      </w:r>
      <w:r w:rsidRPr="00FF5F7A">
        <w:rPr>
          <w:noProof/>
          <w:sz w:val="24"/>
          <w:szCs w:val="24"/>
          <w:lang w:val="en-US"/>
        </w:rPr>
        <w:t xml:space="preserve"> 2014;</w:t>
      </w:r>
      <w:r w:rsidRPr="00FF5F7A">
        <w:rPr>
          <w:b/>
          <w:bCs w:val="0"/>
          <w:noProof/>
          <w:sz w:val="24"/>
          <w:szCs w:val="24"/>
          <w:lang w:val="en-US"/>
        </w:rPr>
        <w:t>42</w:t>
      </w:r>
      <w:r w:rsidRPr="00FF5F7A">
        <w:rPr>
          <w:noProof/>
          <w:sz w:val="24"/>
          <w:szCs w:val="24"/>
          <w:lang w:val="en-US"/>
        </w:rPr>
        <w:t>:D633–42. doi:10.1093/nar/gkt1244</w:t>
      </w:r>
    </w:p>
    <w:p w14:paraId="0D3E31F9" w14:textId="77777777" w:rsidR="00FF5F7A" w:rsidRPr="00FF5F7A" w:rsidRDefault="00FF5F7A" w:rsidP="00FF5F7A">
      <w:pPr>
        <w:widowControl w:val="0"/>
        <w:autoSpaceDE w:val="0"/>
        <w:autoSpaceDN w:val="0"/>
        <w:adjustRightInd w:val="0"/>
        <w:spacing w:line="480" w:lineRule="auto"/>
        <w:ind w:left="640" w:hanging="640"/>
        <w:rPr>
          <w:noProof/>
          <w:sz w:val="24"/>
        </w:rPr>
      </w:pPr>
      <w:r w:rsidRPr="00FF5F7A">
        <w:rPr>
          <w:noProof/>
          <w:sz w:val="24"/>
          <w:szCs w:val="24"/>
          <w:lang w:val="en-US"/>
        </w:rPr>
        <w:t xml:space="preserve">13 </w:t>
      </w:r>
      <w:r w:rsidRPr="00FF5F7A">
        <w:rPr>
          <w:noProof/>
          <w:sz w:val="24"/>
          <w:szCs w:val="24"/>
          <w:lang w:val="en-US"/>
        </w:rPr>
        <w:tab/>
        <w:t xml:space="preserve">Pfaffl MW. A new mathematical model for relative quantification in real-time RT-PCR. </w:t>
      </w:r>
      <w:r w:rsidRPr="00FF5F7A">
        <w:rPr>
          <w:i/>
          <w:iCs/>
          <w:noProof/>
          <w:sz w:val="24"/>
          <w:szCs w:val="24"/>
          <w:lang w:val="en-US"/>
        </w:rPr>
        <w:t>Nucleic Acids Res</w:t>
      </w:r>
      <w:r w:rsidRPr="00FF5F7A">
        <w:rPr>
          <w:noProof/>
          <w:sz w:val="24"/>
          <w:szCs w:val="24"/>
          <w:lang w:val="en-US"/>
        </w:rPr>
        <w:t xml:space="preserve"> 2001;</w:t>
      </w:r>
      <w:r w:rsidRPr="00FF5F7A">
        <w:rPr>
          <w:b/>
          <w:bCs w:val="0"/>
          <w:noProof/>
          <w:sz w:val="24"/>
          <w:szCs w:val="24"/>
          <w:lang w:val="en-US"/>
        </w:rPr>
        <w:t>29</w:t>
      </w:r>
      <w:r w:rsidRPr="00FF5F7A">
        <w:rPr>
          <w:noProof/>
          <w:sz w:val="24"/>
          <w:szCs w:val="24"/>
          <w:lang w:val="en-US"/>
        </w:rPr>
        <w:t>:e45.</w:t>
      </w:r>
    </w:p>
    <w:p w14:paraId="260FDC8C" w14:textId="77777777" w:rsidR="00FF5F7A" w:rsidRPr="00FF5F7A" w:rsidRDefault="00FF5F7A" w:rsidP="00FF5F7A">
      <w:pPr>
        <w:widowControl w:val="0"/>
        <w:autoSpaceDE w:val="0"/>
        <w:autoSpaceDN w:val="0"/>
        <w:adjustRightInd w:val="0"/>
        <w:spacing w:line="480" w:lineRule="auto"/>
        <w:ind w:left="640" w:hanging="640"/>
        <w:rPr>
          <w:b/>
          <w:sz w:val="24"/>
          <w:szCs w:val="24"/>
          <w:lang w:val="en-US"/>
        </w:rPr>
      </w:pPr>
      <w:r>
        <w:rPr>
          <w:b/>
          <w:sz w:val="24"/>
          <w:szCs w:val="24"/>
          <w:lang w:val="en-US"/>
        </w:rPr>
        <w:fldChar w:fldCharType="end"/>
      </w:r>
    </w:p>
    <w:p w14:paraId="498CBE73" w14:textId="77777777" w:rsidR="002C451C" w:rsidRDefault="002C451C" w:rsidP="002C451C">
      <w:pPr>
        <w:spacing w:line="480" w:lineRule="auto"/>
        <w:rPr>
          <w:lang w:val="en-US"/>
        </w:rPr>
      </w:pPr>
    </w:p>
    <w:p w14:paraId="37732894" w14:textId="77777777" w:rsidR="002C451C" w:rsidRDefault="002C451C" w:rsidP="002C451C">
      <w:pPr>
        <w:spacing w:line="480" w:lineRule="auto"/>
        <w:rPr>
          <w:lang w:val="en-US"/>
        </w:rPr>
      </w:pPr>
      <w:r>
        <w:rPr>
          <w:lang w:val="en-US"/>
        </w:rPr>
        <w:br w:type="page"/>
      </w:r>
    </w:p>
    <w:p w14:paraId="57E897B2" w14:textId="77777777" w:rsidR="002C451C" w:rsidRDefault="002C451C" w:rsidP="002C451C">
      <w:pPr>
        <w:spacing w:line="480" w:lineRule="auto"/>
        <w:rPr>
          <w:lang w:val="en-US"/>
        </w:rPr>
        <w:sectPr w:rsidR="002C451C" w:rsidSect="00FD04FB">
          <w:pgSz w:w="11906" w:h="16838"/>
          <w:pgMar w:top="1417" w:right="1417" w:bottom="1417" w:left="1417" w:header="708" w:footer="708" w:gutter="0"/>
          <w:cols w:space="708"/>
          <w:docGrid w:linePitch="360"/>
        </w:sectPr>
      </w:pPr>
    </w:p>
    <w:p w14:paraId="11107104" w14:textId="77777777" w:rsidR="002C451C" w:rsidRPr="00A07A41" w:rsidRDefault="00FD04FB" w:rsidP="002C451C">
      <w:pPr>
        <w:suppressLineNumbers/>
        <w:spacing w:after="0" w:line="480" w:lineRule="auto"/>
        <w:rPr>
          <w:b/>
          <w:sz w:val="24"/>
          <w:szCs w:val="24"/>
          <w:lang w:val="en-US"/>
        </w:rPr>
      </w:pPr>
      <w:r>
        <w:rPr>
          <w:b/>
          <w:sz w:val="24"/>
          <w:szCs w:val="24"/>
          <w:lang w:val="en-US"/>
        </w:rPr>
        <w:lastRenderedPageBreak/>
        <w:t>Supplementary</w:t>
      </w:r>
      <w:r w:rsidR="002C451C" w:rsidRPr="00A07A41">
        <w:rPr>
          <w:b/>
          <w:sz w:val="24"/>
          <w:szCs w:val="24"/>
          <w:lang w:val="en-US"/>
        </w:rPr>
        <w:t xml:space="preserve"> Table </w:t>
      </w:r>
      <w:r>
        <w:rPr>
          <w:b/>
          <w:sz w:val="24"/>
          <w:szCs w:val="24"/>
          <w:lang w:val="en-US"/>
        </w:rPr>
        <w:t>1</w:t>
      </w:r>
      <w:r w:rsidR="002C451C" w:rsidRPr="00A07A41">
        <w:rPr>
          <w:b/>
          <w:sz w:val="24"/>
          <w:szCs w:val="24"/>
          <w:lang w:val="en-US"/>
        </w:rPr>
        <w:t xml:space="preserve">: DNA yields with </w:t>
      </w:r>
      <w:proofErr w:type="spellStart"/>
      <w:r w:rsidR="002C451C" w:rsidRPr="00A07A41">
        <w:rPr>
          <w:b/>
          <w:sz w:val="24"/>
          <w:szCs w:val="24"/>
          <w:lang w:val="en-US"/>
        </w:rPr>
        <w:t>Mobio</w:t>
      </w:r>
      <w:proofErr w:type="spellEnd"/>
      <w:r w:rsidR="002C451C" w:rsidRPr="00A07A41">
        <w:rPr>
          <w:b/>
          <w:sz w:val="24"/>
          <w:szCs w:val="24"/>
          <w:lang w:val="en-US"/>
        </w:rPr>
        <w:t xml:space="preserve"> and MP Bio protocols with different bead-beating speeds and durations</w:t>
      </w:r>
    </w:p>
    <w:tbl>
      <w:tblPr>
        <w:tblStyle w:val="Lichtearcering-accent11"/>
        <w:tblpPr w:leftFromText="141" w:rightFromText="141" w:vertAnchor="text" w:horzAnchor="margin" w:tblpY="56"/>
        <w:tblW w:w="0" w:type="auto"/>
        <w:tblLook w:val="04A0" w:firstRow="1" w:lastRow="0" w:firstColumn="1" w:lastColumn="0" w:noHBand="0" w:noVBand="1"/>
      </w:tblPr>
      <w:tblGrid>
        <w:gridCol w:w="2161"/>
        <w:gridCol w:w="2161"/>
        <w:gridCol w:w="2161"/>
        <w:gridCol w:w="2161"/>
      </w:tblGrid>
      <w:tr w:rsidR="002C451C" w:rsidRPr="00477139" w14:paraId="0BB3C519" w14:textId="77777777" w:rsidTr="00FD04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22" w:type="dxa"/>
            <w:gridSpan w:val="2"/>
            <w:tcBorders>
              <w:top w:val="nil"/>
              <w:bottom w:val="single" w:sz="4" w:space="0" w:color="auto"/>
              <w:right w:val="single" w:sz="4" w:space="0" w:color="auto"/>
            </w:tcBorders>
            <w:vAlign w:val="bottom"/>
          </w:tcPr>
          <w:p w14:paraId="3ECC68C4" w14:textId="77777777" w:rsidR="002C451C" w:rsidRPr="00EE5AB1" w:rsidRDefault="002C451C" w:rsidP="00FD04FB">
            <w:pPr>
              <w:spacing w:after="0" w:line="240" w:lineRule="auto"/>
              <w:jc w:val="left"/>
              <w:rPr>
                <w:rFonts w:ascii="Arial" w:hAnsi="Arial" w:cs="Arial"/>
                <w:color w:val="FF0000"/>
                <w:sz w:val="20"/>
                <w:szCs w:val="20"/>
                <w:lang w:val="en-US"/>
              </w:rPr>
            </w:pPr>
            <w:r w:rsidRPr="00EE5AB1">
              <w:rPr>
                <w:rFonts w:ascii="Arial" w:hAnsi="Arial" w:cs="Arial"/>
                <w:color w:val="000000" w:themeColor="text1"/>
                <w:sz w:val="20"/>
                <w:szCs w:val="20"/>
                <w:lang w:val="en-US"/>
              </w:rPr>
              <w:t>C</w:t>
            </w:r>
            <w:r>
              <w:rPr>
                <w:rFonts w:ascii="Arial" w:hAnsi="Arial" w:cs="Arial"/>
                <w:color w:val="000000" w:themeColor="text1"/>
                <w:sz w:val="20"/>
                <w:szCs w:val="20"/>
                <w:lang w:val="en-US"/>
              </w:rPr>
              <w:t>onditions</w:t>
            </w:r>
          </w:p>
        </w:tc>
        <w:tc>
          <w:tcPr>
            <w:tcW w:w="4322" w:type="dxa"/>
            <w:gridSpan w:val="2"/>
            <w:tcBorders>
              <w:top w:val="nil"/>
              <w:left w:val="single" w:sz="4" w:space="0" w:color="auto"/>
              <w:bottom w:val="single" w:sz="4" w:space="0" w:color="auto"/>
            </w:tcBorders>
            <w:vAlign w:val="bottom"/>
          </w:tcPr>
          <w:p w14:paraId="42DBF787" w14:textId="77777777" w:rsidR="002C451C" w:rsidRPr="00EE5AB1" w:rsidRDefault="002C451C" w:rsidP="00FD04FB">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lang w:val="en-US"/>
              </w:rPr>
            </w:pPr>
            <w:r w:rsidRPr="00EE5AB1">
              <w:rPr>
                <w:rFonts w:ascii="Arial" w:hAnsi="Arial" w:cs="Arial"/>
                <w:color w:val="000000" w:themeColor="text1"/>
                <w:sz w:val="20"/>
                <w:szCs w:val="20"/>
                <w:lang w:val="en-US"/>
              </w:rPr>
              <w:t xml:space="preserve">DNA </w:t>
            </w:r>
            <w:r>
              <w:rPr>
                <w:rFonts w:ascii="Arial" w:hAnsi="Arial" w:cs="Arial"/>
                <w:color w:val="000000" w:themeColor="text1"/>
                <w:sz w:val="20"/>
                <w:szCs w:val="20"/>
                <w:lang w:val="en-US"/>
              </w:rPr>
              <w:t>concentrations</w:t>
            </w:r>
            <w:r w:rsidRPr="00EE5AB1">
              <w:rPr>
                <w:rFonts w:ascii="Arial" w:hAnsi="Arial" w:cs="Arial"/>
                <w:color w:val="000000" w:themeColor="text1"/>
                <w:sz w:val="20"/>
                <w:szCs w:val="20"/>
                <w:lang w:val="en-US"/>
              </w:rPr>
              <w:t xml:space="preserve"> (</w:t>
            </w:r>
            <w:proofErr w:type="spellStart"/>
            <w:r w:rsidRPr="00EE5AB1">
              <w:rPr>
                <w:rFonts w:ascii="Arial" w:hAnsi="Arial" w:cs="Arial"/>
                <w:color w:val="000000" w:themeColor="text1"/>
                <w:sz w:val="20"/>
                <w:szCs w:val="20"/>
                <w:lang w:val="en-US"/>
              </w:rPr>
              <w:t>ng</w:t>
            </w:r>
            <w:proofErr w:type="spellEnd"/>
            <w:r w:rsidRPr="00EE5AB1">
              <w:rPr>
                <w:rFonts w:ascii="Arial" w:hAnsi="Arial" w:cs="Arial"/>
                <w:color w:val="000000" w:themeColor="text1"/>
                <w:sz w:val="20"/>
                <w:szCs w:val="20"/>
                <w:lang w:val="en-US"/>
              </w:rPr>
              <w:t>/µl)</w:t>
            </w:r>
            <w:r>
              <w:rPr>
                <w:rFonts w:ascii="Arial" w:hAnsi="Arial" w:cs="Arial"/>
                <w:color w:val="000000" w:themeColor="text1"/>
                <w:sz w:val="20"/>
                <w:szCs w:val="20"/>
                <w:lang w:val="en-US"/>
              </w:rPr>
              <w:t xml:space="preserve"> and (yield (</w:t>
            </w:r>
            <w:r w:rsidRPr="004A070F">
              <w:rPr>
                <w:rFonts w:ascii="Arial" w:hAnsi="Arial" w:cs="Arial"/>
                <w:color w:val="000000"/>
                <w:sz w:val="20"/>
                <w:szCs w:val="20"/>
              </w:rPr>
              <w:t>μ</w:t>
            </w:r>
            <w:r>
              <w:rPr>
                <w:rFonts w:ascii="Arial" w:hAnsi="Arial" w:cs="Arial"/>
                <w:color w:val="000000" w:themeColor="text1"/>
                <w:sz w:val="20"/>
                <w:szCs w:val="20"/>
                <w:lang w:val="en-US"/>
              </w:rPr>
              <w:t>g))</w:t>
            </w:r>
          </w:p>
        </w:tc>
      </w:tr>
      <w:tr w:rsidR="002C451C" w14:paraId="3393BEB4" w14:textId="77777777" w:rsidTr="00FD04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1" w:type="dxa"/>
            <w:tcBorders>
              <w:top w:val="single" w:sz="4" w:space="0" w:color="auto"/>
              <w:bottom w:val="single" w:sz="4" w:space="0" w:color="auto"/>
              <w:right w:val="single" w:sz="4" w:space="0" w:color="auto"/>
            </w:tcBorders>
            <w:shd w:val="clear" w:color="auto" w:fill="auto"/>
          </w:tcPr>
          <w:p w14:paraId="0A9CF566" w14:textId="77777777" w:rsidR="002C451C" w:rsidRPr="00EE5AB1" w:rsidRDefault="002C451C" w:rsidP="00FD04FB">
            <w:pPr>
              <w:spacing w:after="0" w:line="240" w:lineRule="auto"/>
              <w:rPr>
                <w:rFonts w:ascii="Arial" w:hAnsi="Arial" w:cs="Arial"/>
                <w:color w:val="000000" w:themeColor="text1"/>
                <w:sz w:val="20"/>
                <w:szCs w:val="20"/>
                <w:lang w:val="en-US"/>
              </w:rPr>
            </w:pPr>
            <w:r w:rsidRPr="00EE5AB1">
              <w:rPr>
                <w:rFonts w:ascii="Arial" w:hAnsi="Arial" w:cs="Arial"/>
                <w:color w:val="000000" w:themeColor="text1"/>
                <w:sz w:val="20"/>
                <w:szCs w:val="20"/>
                <w:lang w:val="en-US"/>
              </w:rPr>
              <w:t>Speed</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427F0F10"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en-US"/>
              </w:rPr>
            </w:pPr>
            <w:r w:rsidRPr="00EE5AB1">
              <w:rPr>
                <w:rFonts w:ascii="Arial" w:hAnsi="Arial" w:cs="Arial"/>
                <w:b/>
                <w:color w:val="000000" w:themeColor="text1"/>
                <w:sz w:val="20"/>
                <w:szCs w:val="20"/>
                <w:lang w:val="en-US"/>
              </w:rPr>
              <w:t>Duration</w:t>
            </w: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1F71BDD1"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en-US"/>
              </w:rPr>
            </w:pPr>
            <w:proofErr w:type="spellStart"/>
            <w:r w:rsidRPr="00EE5AB1">
              <w:rPr>
                <w:rFonts w:ascii="Arial" w:hAnsi="Arial" w:cs="Arial"/>
                <w:b/>
                <w:color w:val="000000" w:themeColor="text1"/>
                <w:sz w:val="20"/>
                <w:szCs w:val="20"/>
                <w:lang w:val="en-US"/>
              </w:rPr>
              <w:t>Mobio</w:t>
            </w:r>
            <w:proofErr w:type="spellEnd"/>
            <w:r w:rsidRPr="00EE5AB1">
              <w:rPr>
                <w:rFonts w:ascii="Arial" w:hAnsi="Arial" w:cs="Arial"/>
                <w:b/>
                <w:color w:val="000000" w:themeColor="text1"/>
                <w:sz w:val="20"/>
                <w:szCs w:val="20"/>
                <w:lang w:val="en-US"/>
              </w:rPr>
              <w:t xml:space="preserve"> kit</w:t>
            </w:r>
          </w:p>
        </w:tc>
        <w:tc>
          <w:tcPr>
            <w:tcW w:w="2161" w:type="dxa"/>
            <w:tcBorders>
              <w:top w:val="single" w:sz="4" w:space="0" w:color="auto"/>
              <w:left w:val="single" w:sz="4" w:space="0" w:color="auto"/>
              <w:bottom w:val="single" w:sz="4" w:space="0" w:color="auto"/>
            </w:tcBorders>
            <w:shd w:val="clear" w:color="auto" w:fill="auto"/>
          </w:tcPr>
          <w:p w14:paraId="698BCF11"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en-US"/>
              </w:rPr>
            </w:pPr>
            <w:r w:rsidRPr="00EE5AB1">
              <w:rPr>
                <w:rFonts w:ascii="Arial" w:hAnsi="Arial" w:cs="Arial"/>
                <w:b/>
                <w:color w:val="000000" w:themeColor="text1"/>
                <w:sz w:val="20"/>
                <w:szCs w:val="20"/>
                <w:lang w:val="en-US"/>
              </w:rPr>
              <w:t>MP Bio kit</w:t>
            </w:r>
          </w:p>
        </w:tc>
      </w:tr>
      <w:tr w:rsidR="002C451C" w14:paraId="470503CC" w14:textId="77777777" w:rsidTr="00FD04FB">
        <w:trPr>
          <w:trHeight w:val="20"/>
        </w:trPr>
        <w:tc>
          <w:tcPr>
            <w:cnfStyle w:val="001000000000" w:firstRow="0" w:lastRow="0" w:firstColumn="1" w:lastColumn="0" w:oddVBand="0" w:evenVBand="0" w:oddHBand="0" w:evenHBand="0" w:firstRowFirstColumn="0" w:firstRowLastColumn="0" w:lastRowFirstColumn="0" w:lastRowLastColumn="0"/>
            <w:tcW w:w="2161" w:type="dxa"/>
            <w:vMerge w:val="restart"/>
            <w:tcBorders>
              <w:top w:val="single" w:sz="4" w:space="0" w:color="auto"/>
              <w:bottom w:val="nil"/>
              <w:right w:val="single" w:sz="4" w:space="0" w:color="auto"/>
            </w:tcBorders>
            <w:shd w:val="clear" w:color="auto" w:fill="auto"/>
          </w:tcPr>
          <w:p w14:paraId="4607DF13" w14:textId="77777777" w:rsidR="002C451C" w:rsidRPr="00EE5AB1" w:rsidRDefault="002C451C" w:rsidP="00FD04FB">
            <w:pPr>
              <w:spacing w:after="0" w:line="240" w:lineRule="auto"/>
              <w:rPr>
                <w:rFonts w:ascii="Arial" w:hAnsi="Arial" w:cs="Arial"/>
                <w:b w:val="0"/>
                <w:color w:val="000000" w:themeColor="text1"/>
                <w:sz w:val="20"/>
                <w:szCs w:val="20"/>
                <w:lang w:val="en-US"/>
              </w:rPr>
            </w:pPr>
            <w:r w:rsidRPr="00EE5AB1">
              <w:rPr>
                <w:rFonts w:ascii="Arial" w:hAnsi="Arial" w:cs="Arial"/>
                <w:b w:val="0"/>
                <w:color w:val="000000" w:themeColor="text1"/>
                <w:sz w:val="20"/>
                <w:szCs w:val="20"/>
                <w:lang w:val="en-US"/>
              </w:rPr>
              <w:t>6400 rpm</w:t>
            </w:r>
          </w:p>
        </w:tc>
        <w:tc>
          <w:tcPr>
            <w:tcW w:w="2161" w:type="dxa"/>
            <w:tcBorders>
              <w:top w:val="single" w:sz="4" w:space="0" w:color="auto"/>
              <w:left w:val="single" w:sz="4" w:space="0" w:color="auto"/>
              <w:bottom w:val="nil"/>
              <w:right w:val="single" w:sz="4" w:space="0" w:color="auto"/>
            </w:tcBorders>
            <w:shd w:val="clear" w:color="auto" w:fill="auto"/>
          </w:tcPr>
          <w:p w14:paraId="3705B405"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60s</w:t>
            </w:r>
          </w:p>
        </w:tc>
        <w:tc>
          <w:tcPr>
            <w:tcW w:w="2161" w:type="dxa"/>
            <w:tcBorders>
              <w:top w:val="single" w:sz="4" w:space="0" w:color="auto"/>
              <w:left w:val="single" w:sz="4" w:space="0" w:color="auto"/>
              <w:bottom w:val="nil"/>
              <w:right w:val="single" w:sz="4" w:space="0" w:color="auto"/>
            </w:tcBorders>
            <w:shd w:val="clear" w:color="auto" w:fill="auto"/>
          </w:tcPr>
          <w:p w14:paraId="70D7EEAB"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215</w:t>
            </w:r>
            <w:r>
              <w:rPr>
                <w:rFonts w:ascii="Arial" w:hAnsi="Arial" w:cs="Arial"/>
                <w:color w:val="000000" w:themeColor="text1"/>
                <w:sz w:val="20"/>
                <w:szCs w:val="20"/>
                <w:lang w:val="en-US"/>
              </w:rPr>
              <w:t xml:space="preserve"> (21,5)</w:t>
            </w:r>
          </w:p>
        </w:tc>
        <w:tc>
          <w:tcPr>
            <w:tcW w:w="2161" w:type="dxa"/>
            <w:tcBorders>
              <w:top w:val="single" w:sz="4" w:space="0" w:color="auto"/>
              <w:left w:val="single" w:sz="4" w:space="0" w:color="auto"/>
              <w:bottom w:val="nil"/>
            </w:tcBorders>
            <w:shd w:val="clear" w:color="auto" w:fill="auto"/>
          </w:tcPr>
          <w:p w14:paraId="26EC0192"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470</w:t>
            </w:r>
            <w:r>
              <w:rPr>
                <w:rFonts w:ascii="Arial" w:hAnsi="Arial" w:cs="Arial"/>
                <w:color w:val="000000" w:themeColor="text1"/>
                <w:sz w:val="20"/>
                <w:szCs w:val="20"/>
                <w:lang w:val="en-US"/>
              </w:rPr>
              <w:t xml:space="preserve"> (47,0)</w:t>
            </w:r>
          </w:p>
        </w:tc>
      </w:tr>
      <w:tr w:rsidR="002C451C" w14:paraId="6B7C4174" w14:textId="77777777" w:rsidTr="00FD04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1" w:type="dxa"/>
            <w:vMerge/>
            <w:tcBorders>
              <w:top w:val="nil"/>
              <w:bottom w:val="single" w:sz="4" w:space="0" w:color="auto"/>
              <w:right w:val="single" w:sz="4" w:space="0" w:color="auto"/>
            </w:tcBorders>
            <w:shd w:val="clear" w:color="auto" w:fill="auto"/>
          </w:tcPr>
          <w:p w14:paraId="266F8712" w14:textId="77777777" w:rsidR="002C451C" w:rsidRPr="00EE5AB1" w:rsidRDefault="002C451C" w:rsidP="00FD04FB">
            <w:pPr>
              <w:spacing w:after="0" w:line="240" w:lineRule="auto"/>
              <w:rPr>
                <w:rFonts w:ascii="Arial" w:hAnsi="Arial" w:cs="Arial"/>
                <w:b w:val="0"/>
                <w:color w:val="000000" w:themeColor="text1"/>
                <w:sz w:val="20"/>
                <w:szCs w:val="20"/>
                <w:lang w:val="en-US"/>
              </w:rPr>
            </w:pPr>
          </w:p>
        </w:tc>
        <w:tc>
          <w:tcPr>
            <w:tcW w:w="2161" w:type="dxa"/>
            <w:tcBorders>
              <w:top w:val="nil"/>
              <w:left w:val="single" w:sz="4" w:space="0" w:color="auto"/>
              <w:bottom w:val="single" w:sz="4" w:space="0" w:color="auto"/>
              <w:right w:val="single" w:sz="4" w:space="0" w:color="auto"/>
            </w:tcBorders>
            <w:shd w:val="clear" w:color="auto" w:fill="auto"/>
          </w:tcPr>
          <w:p w14:paraId="1F9D8ED7"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120s</w:t>
            </w:r>
          </w:p>
        </w:tc>
        <w:tc>
          <w:tcPr>
            <w:tcW w:w="2161" w:type="dxa"/>
            <w:tcBorders>
              <w:top w:val="nil"/>
              <w:left w:val="single" w:sz="4" w:space="0" w:color="auto"/>
              <w:bottom w:val="single" w:sz="4" w:space="0" w:color="auto"/>
              <w:right w:val="single" w:sz="4" w:space="0" w:color="auto"/>
            </w:tcBorders>
            <w:shd w:val="clear" w:color="auto" w:fill="auto"/>
          </w:tcPr>
          <w:p w14:paraId="7A7D84A6"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216</w:t>
            </w:r>
            <w:r>
              <w:rPr>
                <w:rFonts w:ascii="Arial" w:hAnsi="Arial" w:cs="Arial"/>
                <w:color w:val="000000" w:themeColor="text1"/>
                <w:sz w:val="20"/>
                <w:szCs w:val="20"/>
                <w:lang w:val="en-US"/>
              </w:rPr>
              <w:t xml:space="preserve"> (21,6)</w:t>
            </w:r>
          </w:p>
        </w:tc>
        <w:tc>
          <w:tcPr>
            <w:tcW w:w="2161" w:type="dxa"/>
            <w:tcBorders>
              <w:top w:val="nil"/>
              <w:left w:val="single" w:sz="4" w:space="0" w:color="auto"/>
              <w:bottom w:val="single" w:sz="4" w:space="0" w:color="auto"/>
            </w:tcBorders>
            <w:shd w:val="clear" w:color="auto" w:fill="auto"/>
          </w:tcPr>
          <w:p w14:paraId="3C56DD80"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526</w:t>
            </w:r>
            <w:r>
              <w:rPr>
                <w:rFonts w:ascii="Arial" w:hAnsi="Arial" w:cs="Arial"/>
                <w:color w:val="000000" w:themeColor="text1"/>
                <w:sz w:val="20"/>
                <w:szCs w:val="20"/>
                <w:lang w:val="en-US"/>
              </w:rPr>
              <w:t xml:space="preserve"> (52,6)</w:t>
            </w:r>
          </w:p>
        </w:tc>
      </w:tr>
      <w:tr w:rsidR="002C451C" w14:paraId="1D3A5EDD" w14:textId="77777777" w:rsidTr="00FD04FB">
        <w:trPr>
          <w:trHeight w:val="20"/>
        </w:trPr>
        <w:tc>
          <w:tcPr>
            <w:cnfStyle w:val="001000000000" w:firstRow="0" w:lastRow="0" w:firstColumn="1" w:lastColumn="0" w:oddVBand="0" w:evenVBand="0" w:oddHBand="0" w:evenHBand="0" w:firstRowFirstColumn="0" w:firstRowLastColumn="0" w:lastRowFirstColumn="0" w:lastRowLastColumn="0"/>
            <w:tcW w:w="2161" w:type="dxa"/>
            <w:vMerge w:val="restart"/>
            <w:tcBorders>
              <w:top w:val="single" w:sz="4" w:space="0" w:color="auto"/>
              <w:bottom w:val="nil"/>
              <w:right w:val="single" w:sz="4" w:space="0" w:color="auto"/>
            </w:tcBorders>
            <w:shd w:val="clear" w:color="auto" w:fill="auto"/>
          </w:tcPr>
          <w:p w14:paraId="18E7E3B2" w14:textId="77777777" w:rsidR="002C451C" w:rsidRPr="00EE5AB1" w:rsidRDefault="002C451C" w:rsidP="00FD04FB">
            <w:pPr>
              <w:spacing w:after="0" w:line="240" w:lineRule="auto"/>
              <w:rPr>
                <w:rFonts w:ascii="Arial" w:hAnsi="Arial" w:cs="Arial"/>
                <w:b w:val="0"/>
                <w:color w:val="000000" w:themeColor="text1"/>
                <w:sz w:val="20"/>
                <w:szCs w:val="20"/>
                <w:lang w:val="en-US"/>
              </w:rPr>
            </w:pPr>
            <w:r w:rsidRPr="00EE5AB1">
              <w:rPr>
                <w:rFonts w:ascii="Arial" w:hAnsi="Arial" w:cs="Arial"/>
                <w:b w:val="0"/>
                <w:color w:val="000000" w:themeColor="text1"/>
                <w:sz w:val="20"/>
                <w:szCs w:val="20"/>
                <w:lang w:val="en-US"/>
              </w:rPr>
              <w:t>5400 rpm</w:t>
            </w:r>
          </w:p>
        </w:tc>
        <w:tc>
          <w:tcPr>
            <w:tcW w:w="2161" w:type="dxa"/>
            <w:tcBorders>
              <w:top w:val="single" w:sz="4" w:space="0" w:color="auto"/>
              <w:left w:val="single" w:sz="4" w:space="0" w:color="auto"/>
              <w:bottom w:val="nil"/>
              <w:right w:val="single" w:sz="4" w:space="0" w:color="auto"/>
            </w:tcBorders>
            <w:shd w:val="clear" w:color="auto" w:fill="auto"/>
          </w:tcPr>
          <w:p w14:paraId="1316F484"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60s</w:t>
            </w:r>
          </w:p>
        </w:tc>
        <w:tc>
          <w:tcPr>
            <w:tcW w:w="2161" w:type="dxa"/>
            <w:tcBorders>
              <w:top w:val="single" w:sz="4" w:space="0" w:color="auto"/>
              <w:left w:val="single" w:sz="4" w:space="0" w:color="auto"/>
              <w:bottom w:val="nil"/>
              <w:right w:val="single" w:sz="4" w:space="0" w:color="auto"/>
            </w:tcBorders>
            <w:shd w:val="clear" w:color="auto" w:fill="auto"/>
          </w:tcPr>
          <w:p w14:paraId="72AF1F0D"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202</w:t>
            </w:r>
            <w:r>
              <w:rPr>
                <w:rFonts w:ascii="Arial" w:hAnsi="Arial" w:cs="Arial"/>
                <w:color w:val="000000" w:themeColor="text1"/>
                <w:sz w:val="20"/>
                <w:szCs w:val="20"/>
                <w:lang w:val="en-US"/>
              </w:rPr>
              <w:t xml:space="preserve"> (20,2)</w:t>
            </w:r>
          </w:p>
        </w:tc>
        <w:tc>
          <w:tcPr>
            <w:tcW w:w="2161" w:type="dxa"/>
            <w:tcBorders>
              <w:top w:val="single" w:sz="4" w:space="0" w:color="auto"/>
              <w:left w:val="single" w:sz="4" w:space="0" w:color="auto"/>
              <w:bottom w:val="nil"/>
            </w:tcBorders>
            <w:shd w:val="clear" w:color="auto" w:fill="auto"/>
          </w:tcPr>
          <w:p w14:paraId="43473148"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462</w:t>
            </w:r>
            <w:r>
              <w:rPr>
                <w:rFonts w:ascii="Arial" w:hAnsi="Arial" w:cs="Arial"/>
                <w:color w:val="000000" w:themeColor="text1"/>
                <w:sz w:val="20"/>
                <w:szCs w:val="20"/>
                <w:lang w:val="en-US"/>
              </w:rPr>
              <w:t xml:space="preserve"> (46,2)</w:t>
            </w:r>
          </w:p>
        </w:tc>
      </w:tr>
      <w:tr w:rsidR="002C451C" w14:paraId="731E5575" w14:textId="77777777" w:rsidTr="00FD04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1" w:type="dxa"/>
            <w:vMerge/>
            <w:tcBorders>
              <w:top w:val="nil"/>
              <w:bottom w:val="single" w:sz="4" w:space="0" w:color="auto"/>
              <w:right w:val="single" w:sz="4" w:space="0" w:color="auto"/>
            </w:tcBorders>
            <w:shd w:val="clear" w:color="auto" w:fill="auto"/>
          </w:tcPr>
          <w:p w14:paraId="6356179B" w14:textId="77777777" w:rsidR="002C451C" w:rsidRPr="00EE5AB1" w:rsidRDefault="002C451C" w:rsidP="00FD04FB">
            <w:pPr>
              <w:spacing w:after="0" w:line="240" w:lineRule="auto"/>
              <w:rPr>
                <w:rFonts w:ascii="Arial" w:hAnsi="Arial" w:cs="Arial"/>
                <w:b w:val="0"/>
                <w:color w:val="000000" w:themeColor="text1"/>
                <w:sz w:val="20"/>
                <w:szCs w:val="20"/>
                <w:lang w:val="en-US"/>
              </w:rPr>
            </w:pPr>
          </w:p>
        </w:tc>
        <w:tc>
          <w:tcPr>
            <w:tcW w:w="2161" w:type="dxa"/>
            <w:tcBorders>
              <w:top w:val="nil"/>
              <w:left w:val="single" w:sz="4" w:space="0" w:color="auto"/>
              <w:bottom w:val="single" w:sz="4" w:space="0" w:color="auto"/>
              <w:right w:val="single" w:sz="4" w:space="0" w:color="auto"/>
            </w:tcBorders>
            <w:shd w:val="clear" w:color="auto" w:fill="auto"/>
          </w:tcPr>
          <w:p w14:paraId="78D46E8C"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120s</w:t>
            </w:r>
          </w:p>
        </w:tc>
        <w:tc>
          <w:tcPr>
            <w:tcW w:w="2161" w:type="dxa"/>
            <w:tcBorders>
              <w:top w:val="nil"/>
              <w:left w:val="single" w:sz="4" w:space="0" w:color="auto"/>
              <w:bottom w:val="single" w:sz="4" w:space="0" w:color="auto"/>
              <w:right w:val="single" w:sz="4" w:space="0" w:color="auto"/>
            </w:tcBorders>
            <w:shd w:val="clear" w:color="auto" w:fill="auto"/>
          </w:tcPr>
          <w:p w14:paraId="08A1D784"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209</w:t>
            </w:r>
            <w:r>
              <w:rPr>
                <w:rFonts w:ascii="Arial" w:hAnsi="Arial" w:cs="Arial"/>
                <w:color w:val="000000" w:themeColor="text1"/>
                <w:sz w:val="20"/>
                <w:szCs w:val="20"/>
                <w:lang w:val="en-US"/>
              </w:rPr>
              <w:t xml:space="preserve"> (20,9)</w:t>
            </w:r>
          </w:p>
        </w:tc>
        <w:tc>
          <w:tcPr>
            <w:tcW w:w="2161" w:type="dxa"/>
            <w:tcBorders>
              <w:top w:val="nil"/>
              <w:left w:val="single" w:sz="4" w:space="0" w:color="auto"/>
              <w:bottom w:val="single" w:sz="4" w:space="0" w:color="auto"/>
            </w:tcBorders>
            <w:shd w:val="clear" w:color="auto" w:fill="auto"/>
          </w:tcPr>
          <w:p w14:paraId="43D590BC"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434</w:t>
            </w:r>
            <w:r>
              <w:rPr>
                <w:rFonts w:ascii="Arial" w:hAnsi="Arial" w:cs="Arial"/>
                <w:color w:val="000000" w:themeColor="text1"/>
                <w:sz w:val="20"/>
                <w:szCs w:val="20"/>
                <w:lang w:val="en-US"/>
              </w:rPr>
              <w:t xml:space="preserve"> (43,4)</w:t>
            </w:r>
          </w:p>
        </w:tc>
      </w:tr>
      <w:tr w:rsidR="002C451C" w14:paraId="0C77C759" w14:textId="77777777" w:rsidTr="00FD04FB">
        <w:trPr>
          <w:trHeight w:val="20"/>
        </w:trPr>
        <w:tc>
          <w:tcPr>
            <w:cnfStyle w:val="001000000000" w:firstRow="0" w:lastRow="0" w:firstColumn="1" w:lastColumn="0" w:oddVBand="0" w:evenVBand="0" w:oddHBand="0" w:evenHBand="0" w:firstRowFirstColumn="0" w:firstRowLastColumn="0" w:lastRowFirstColumn="0" w:lastRowLastColumn="0"/>
            <w:tcW w:w="2161" w:type="dxa"/>
            <w:vMerge w:val="restart"/>
            <w:tcBorders>
              <w:top w:val="single" w:sz="4" w:space="0" w:color="auto"/>
              <w:bottom w:val="nil"/>
              <w:right w:val="single" w:sz="4" w:space="0" w:color="auto"/>
            </w:tcBorders>
            <w:shd w:val="clear" w:color="auto" w:fill="auto"/>
          </w:tcPr>
          <w:p w14:paraId="6DC16F8C" w14:textId="77777777" w:rsidR="002C451C" w:rsidRPr="00EE5AB1" w:rsidRDefault="002C451C" w:rsidP="00FD04FB">
            <w:pPr>
              <w:spacing w:after="0" w:line="240" w:lineRule="auto"/>
              <w:rPr>
                <w:rFonts w:ascii="Arial" w:hAnsi="Arial" w:cs="Arial"/>
                <w:b w:val="0"/>
                <w:color w:val="000000" w:themeColor="text1"/>
                <w:sz w:val="20"/>
                <w:szCs w:val="20"/>
                <w:lang w:val="en-US"/>
              </w:rPr>
            </w:pPr>
            <w:r w:rsidRPr="00EE5AB1">
              <w:rPr>
                <w:rFonts w:ascii="Arial" w:hAnsi="Arial" w:cs="Arial"/>
                <w:b w:val="0"/>
                <w:color w:val="000000" w:themeColor="text1"/>
                <w:sz w:val="20"/>
                <w:szCs w:val="20"/>
                <w:lang w:val="en-US"/>
              </w:rPr>
              <w:t>4400 rpm</w:t>
            </w:r>
          </w:p>
        </w:tc>
        <w:tc>
          <w:tcPr>
            <w:tcW w:w="2161" w:type="dxa"/>
            <w:tcBorders>
              <w:top w:val="single" w:sz="4" w:space="0" w:color="auto"/>
              <w:left w:val="single" w:sz="4" w:space="0" w:color="auto"/>
              <w:bottom w:val="nil"/>
              <w:right w:val="single" w:sz="4" w:space="0" w:color="auto"/>
            </w:tcBorders>
            <w:shd w:val="clear" w:color="auto" w:fill="auto"/>
          </w:tcPr>
          <w:p w14:paraId="30E14C6A"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60s</w:t>
            </w:r>
          </w:p>
        </w:tc>
        <w:tc>
          <w:tcPr>
            <w:tcW w:w="2161" w:type="dxa"/>
            <w:tcBorders>
              <w:top w:val="single" w:sz="4" w:space="0" w:color="auto"/>
              <w:left w:val="single" w:sz="4" w:space="0" w:color="auto"/>
              <w:bottom w:val="nil"/>
              <w:right w:val="single" w:sz="4" w:space="0" w:color="auto"/>
            </w:tcBorders>
            <w:shd w:val="clear" w:color="auto" w:fill="auto"/>
          </w:tcPr>
          <w:p w14:paraId="4E3D5067"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204</w:t>
            </w:r>
            <w:r>
              <w:rPr>
                <w:rFonts w:ascii="Arial" w:hAnsi="Arial" w:cs="Arial"/>
                <w:color w:val="000000" w:themeColor="text1"/>
                <w:sz w:val="20"/>
                <w:szCs w:val="20"/>
                <w:lang w:val="en-US"/>
              </w:rPr>
              <w:t xml:space="preserve"> (20,4)</w:t>
            </w:r>
          </w:p>
        </w:tc>
        <w:tc>
          <w:tcPr>
            <w:tcW w:w="2161" w:type="dxa"/>
            <w:tcBorders>
              <w:top w:val="single" w:sz="4" w:space="0" w:color="auto"/>
              <w:left w:val="single" w:sz="4" w:space="0" w:color="auto"/>
              <w:bottom w:val="nil"/>
            </w:tcBorders>
            <w:shd w:val="clear" w:color="auto" w:fill="auto"/>
          </w:tcPr>
          <w:p w14:paraId="21426DB7" w14:textId="77777777" w:rsidR="002C451C" w:rsidRPr="00EE5AB1" w:rsidRDefault="002C451C" w:rsidP="00FD04FB">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456</w:t>
            </w:r>
            <w:r>
              <w:rPr>
                <w:rFonts w:ascii="Arial" w:hAnsi="Arial" w:cs="Arial"/>
                <w:color w:val="000000" w:themeColor="text1"/>
                <w:sz w:val="20"/>
                <w:szCs w:val="20"/>
                <w:lang w:val="en-US"/>
              </w:rPr>
              <w:t xml:space="preserve"> (45,6)</w:t>
            </w:r>
          </w:p>
        </w:tc>
      </w:tr>
      <w:tr w:rsidR="002C451C" w14:paraId="0C3E49DC" w14:textId="77777777" w:rsidTr="00FD04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1" w:type="dxa"/>
            <w:vMerge/>
            <w:tcBorders>
              <w:top w:val="nil"/>
              <w:bottom w:val="nil"/>
              <w:right w:val="single" w:sz="4" w:space="0" w:color="auto"/>
            </w:tcBorders>
            <w:shd w:val="clear" w:color="auto" w:fill="auto"/>
          </w:tcPr>
          <w:p w14:paraId="6A2747D8" w14:textId="77777777" w:rsidR="002C451C" w:rsidRPr="00154C9F" w:rsidRDefault="002C451C" w:rsidP="00FD04FB">
            <w:pPr>
              <w:spacing w:after="0" w:line="240" w:lineRule="auto"/>
              <w:rPr>
                <w:color w:val="000000" w:themeColor="text1"/>
                <w:lang w:val="en-US"/>
              </w:rPr>
            </w:pPr>
          </w:p>
        </w:tc>
        <w:tc>
          <w:tcPr>
            <w:tcW w:w="2161" w:type="dxa"/>
            <w:tcBorders>
              <w:top w:val="nil"/>
              <w:left w:val="single" w:sz="4" w:space="0" w:color="auto"/>
              <w:bottom w:val="nil"/>
              <w:right w:val="single" w:sz="4" w:space="0" w:color="auto"/>
            </w:tcBorders>
            <w:shd w:val="clear" w:color="auto" w:fill="auto"/>
          </w:tcPr>
          <w:p w14:paraId="7FFC113E"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120s</w:t>
            </w:r>
          </w:p>
        </w:tc>
        <w:tc>
          <w:tcPr>
            <w:tcW w:w="2161" w:type="dxa"/>
            <w:tcBorders>
              <w:top w:val="nil"/>
              <w:left w:val="single" w:sz="4" w:space="0" w:color="auto"/>
              <w:bottom w:val="nil"/>
              <w:right w:val="single" w:sz="4" w:space="0" w:color="auto"/>
            </w:tcBorders>
            <w:shd w:val="clear" w:color="auto" w:fill="auto"/>
          </w:tcPr>
          <w:p w14:paraId="042E6752"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213</w:t>
            </w:r>
            <w:r>
              <w:rPr>
                <w:rFonts w:ascii="Arial" w:hAnsi="Arial" w:cs="Arial"/>
                <w:color w:val="000000" w:themeColor="text1"/>
                <w:sz w:val="20"/>
                <w:szCs w:val="20"/>
                <w:lang w:val="en-US"/>
              </w:rPr>
              <w:t xml:space="preserve"> (21,3)</w:t>
            </w:r>
          </w:p>
        </w:tc>
        <w:tc>
          <w:tcPr>
            <w:tcW w:w="2161" w:type="dxa"/>
            <w:tcBorders>
              <w:top w:val="nil"/>
              <w:left w:val="single" w:sz="4" w:space="0" w:color="auto"/>
              <w:bottom w:val="nil"/>
            </w:tcBorders>
            <w:shd w:val="clear" w:color="auto" w:fill="auto"/>
          </w:tcPr>
          <w:p w14:paraId="033E6892" w14:textId="77777777" w:rsidR="002C451C" w:rsidRPr="00EE5AB1" w:rsidRDefault="002C451C" w:rsidP="00FD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en-US"/>
              </w:rPr>
            </w:pPr>
            <w:r w:rsidRPr="00EE5AB1">
              <w:rPr>
                <w:rFonts w:ascii="Arial" w:hAnsi="Arial" w:cs="Arial"/>
                <w:color w:val="000000" w:themeColor="text1"/>
                <w:sz w:val="20"/>
                <w:szCs w:val="20"/>
                <w:lang w:val="en-US"/>
              </w:rPr>
              <w:t>410</w:t>
            </w:r>
            <w:r>
              <w:rPr>
                <w:rFonts w:ascii="Arial" w:hAnsi="Arial" w:cs="Arial"/>
                <w:color w:val="000000" w:themeColor="text1"/>
                <w:sz w:val="20"/>
                <w:szCs w:val="20"/>
                <w:lang w:val="en-US"/>
              </w:rPr>
              <w:t xml:space="preserve"> (41,0)</w:t>
            </w:r>
          </w:p>
        </w:tc>
      </w:tr>
    </w:tbl>
    <w:p w14:paraId="4CA445D4" w14:textId="77777777" w:rsidR="002C451C" w:rsidRPr="002C451C" w:rsidRDefault="002C451C" w:rsidP="002C451C">
      <w:pPr>
        <w:spacing w:after="0" w:line="240" w:lineRule="auto"/>
        <w:jc w:val="left"/>
        <w:outlineLvl w:val="9"/>
        <w:rPr>
          <w:b/>
          <w:lang w:val="en-US"/>
        </w:rPr>
      </w:pPr>
      <w:bookmarkStart w:id="0" w:name="_GoBack"/>
      <w:bookmarkEnd w:id="0"/>
      <w:r>
        <w:rPr>
          <w:b/>
          <w:lang w:val="en-US"/>
        </w:rPr>
        <w:br w:type="page"/>
      </w:r>
      <w:r w:rsidR="00FD04FB">
        <w:rPr>
          <w:b/>
          <w:sz w:val="24"/>
          <w:szCs w:val="24"/>
          <w:lang w:val="en-US"/>
        </w:rPr>
        <w:t>Supplementary</w:t>
      </w:r>
      <w:r w:rsidRPr="00A07A41">
        <w:rPr>
          <w:b/>
          <w:sz w:val="24"/>
          <w:szCs w:val="24"/>
          <w:lang w:val="en-US"/>
        </w:rPr>
        <w:t xml:space="preserve"> table </w:t>
      </w:r>
      <w:r w:rsidR="00FD04FB">
        <w:rPr>
          <w:b/>
          <w:sz w:val="24"/>
          <w:szCs w:val="24"/>
          <w:lang w:val="en-US"/>
        </w:rPr>
        <w:t>2</w:t>
      </w:r>
      <w:r>
        <w:rPr>
          <w:b/>
          <w:sz w:val="24"/>
          <w:szCs w:val="24"/>
          <w:lang w:val="en-US"/>
        </w:rPr>
        <w:t xml:space="preserve">: 16S </w:t>
      </w:r>
      <w:proofErr w:type="spellStart"/>
      <w:r>
        <w:rPr>
          <w:b/>
          <w:sz w:val="24"/>
          <w:szCs w:val="24"/>
          <w:lang w:val="en-US"/>
        </w:rPr>
        <w:t>rD</w:t>
      </w:r>
      <w:r w:rsidRPr="00A07A41">
        <w:rPr>
          <w:b/>
          <w:sz w:val="24"/>
          <w:szCs w:val="24"/>
          <w:lang w:val="en-US"/>
        </w:rPr>
        <w:t>NA</w:t>
      </w:r>
      <w:proofErr w:type="spellEnd"/>
      <w:r w:rsidRPr="00A07A41">
        <w:rPr>
          <w:b/>
          <w:sz w:val="24"/>
          <w:szCs w:val="24"/>
          <w:lang w:val="en-US"/>
        </w:rPr>
        <w:t xml:space="preserve"> </w:t>
      </w:r>
      <w:proofErr w:type="spellStart"/>
      <w:r w:rsidRPr="00A07A41">
        <w:rPr>
          <w:b/>
          <w:sz w:val="24"/>
          <w:szCs w:val="24"/>
          <w:lang w:val="en-US"/>
        </w:rPr>
        <w:t>qPCR</w:t>
      </w:r>
      <w:proofErr w:type="spellEnd"/>
      <w:r w:rsidRPr="00A07A41">
        <w:rPr>
          <w:b/>
          <w:sz w:val="24"/>
          <w:szCs w:val="24"/>
          <w:lang w:val="en-US"/>
        </w:rPr>
        <w:t xml:space="preserve"> primer pairs</w:t>
      </w:r>
    </w:p>
    <w:tbl>
      <w:tblPr>
        <w:tblpPr w:leftFromText="141" w:rightFromText="141" w:vertAnchor="text" w:horzAnchor="margin" w:tblpY="99"/>
        <w:tblW w:w="14265" w:type="dxa"/>
        <w:tblCellMar>
          <w:left w:w="70" w:type="dxa"/>
          <w:right w:w="70" w:type="dxa"/>
        </w:tblCellMar>
        <w:tblLook w:val="04A0" w:firstRow="1" w:lastRow="0" w:firstColumn="1" w:lastColumn="0" w:noHBand="0" w:noVBand="1"/>
      </w:tblPr>
      <w:tblGrid>
        <w:gridCol w:w="1293"/>
        <w:gridCol w:w="2257"/>
        <w:gridCol w:w="1174"/>
        <w:gridCol w:w="3163"/>
        <w:gridCol w:w="1130"/>
        <w:gridCol w:w="3029"/>
        <w:gridCol w:w="2219"/>
      </w:tblGrid>
      <w:tr w:rsidR="002C451C" w:rsidRPr="002C451C" w14:paraId="19EB0A5D" w14:textId="77777777" w:rsidTr="00FD04FB">
        <w:trPr>
          <w:trHeight w:val="300"/>
        </w:trPr>
        <w:tc>
          <w:tcPr>
            <w:tcW w:w="1293" w:type="dxa"/>
            <w:tcBorders>
              <w:top w:val="nil"/>
              <w:left w:val="nil"/>
              <w:bottom w:val="single" w:sz="4" w:space="0" w:color="auto"/>
              <w:right w:val="single" w:sz="4" w:space="0" w:color="auto"/>
            </w:tcBorders>
            <w:shd w:val="clear" w:color="auto" w:fill="auto"/>
            <w:vAlign w:val="center"/>
            <w:hideMark/>
          </w:tcPr>
          <w:p w14:paraId="5517BCBB" w14:textId="77777777" w:rsidR="002C451C" w:rsidRPr="0088764D" w:rsidRDefault="002C451C" w:rsidP="00FD04FB">
            <w:pPr>
              <w:suppressLineNumbers/>
              <w:spacing w:after="0" w:line="240" w:lineRule="auto"/>
              <w:jc w:val="left"/>
              <w:outlineLvl w:val="9"/>
              <w:rPr>
                <w:rFonts w:ascii="Arial" w:hAnsi="Arial" w:cs="Arial"/>
                <w:b/>
                <w:color w:val="000000"/>
                <w:sz w:val="20"/>
                <w:szCs w:val="20"/>
                <w:lang w:val="en-US" w:eastAsia="nl-NL" w:bidi="ar-SA"/>
              </w:rPr>
            </w:pPr>
            <w:r w:rsidRPr="0088764D">
              <w:rPr>
                <w:rFonts w:ascii="Arial" w:hAnsi="Arial" w:cs="Arial"/>
                <w:b/>
                <w:color w:val="000000"/>
                <w:sz w:val="20"/>
                <w:szCs w:val="20"/>
                <w:lang w:val="en-US" w:eastAsia="nl-NL" w:bidi="ar-SA"/>
              </w:rPr>
              <w:t xml:space="preserve">Primer pair </w:t>
            </w:r>
          </w:p>
        </w:tc>
        <w:tc>
          <w:tcPr>
            <w:tcW w:w="2257" w:type="dxa"/>
            <w:tcBorders>
              <w:top w:val="nil"/>
              <w:left w:val="nil"/>
              <w:bottom w:val="single" w:sz="4" w:space="0" w:color="auto"/>
              <w:right w:val="single" w:sz="4" w:space="0" w:color="auto"/>
            </w:tcBorders>
            <w:shd w:val="clear" w:color="auto" w:fill="auto"/>
            <w:vAlign w:val="center"/>
            <w:hideMark/>
          </w:tcPr>
          <w:p w14:paraId="0AB043FA" w14:textId="77777777" w:rsidR="002C451C" w:rsidRPr="0088764D" w:rsidRDefault="002C451C" w:rsidP="00FD04FB">
            <w:pPr>
              <w:suppressLineNumbers/>
              <w:spacing w:after="0" w:line="240" w:lineRule="auto"/>
              <w:jc w:val="left"/>
              <w:outlineLvl w:val="9"/>
              <w:rPr>
                <w:rFonts w:ascii="Arial" w:hAnsi="Arial" w:cs="Arial"/>
                <w:b/>
                <w:color w:val="000000"/>
                <w:sz w:val="20"/>
                <w:szCs w:val="20"/>
                <w:lang w:val="en-US" w:eastAsia="nl-NL" w:bidi="ar-SA"/>
              </w:rPr>
            </w:pPr>
            <w:r w:rsidRPr="0088764D">
              <w:rPr>
                <w:rFonts w:ascii="Arial" w:hAnsi="Arial" w:cs="Arial"/>
                <w:b/>
                <w:color w:val="000000"/>
                <w:sz w:val="20"/>
                <w:szCs w:val="20"/>
                <w:lang w:val="en-US" w:eastAsia="nl-NL" w:bidi="ar-SA"/>
              </w:rPr>
              <w:t>Phylum</w:t>
            </w:r>
          </w:p>
        </w:tc>
        <w:tc>
          <w:tcPr>
            <w:tcW w:w="1174" w:type="dxa"/>
            <w:tcBorders>
              <w:top w:val="nil"/>
              <w:left w:val="nil"/>
              <w:bottom w:val="single" w:sz="4" w:space="0" w:color="auto"/>
              <w:right w:val="single" w:sz="4" w:space="0" w:color="auto"/>
            </w:tcBorders>
            <w:shd w:val="clear" w:color="auto" w:fill="auto"/>
            <w:vAlign w:val="center"/>
            <w:hideMark/>
          </w:tcPr>
          <w:p w14:paraId="272C92D5" w14:textId="77777777" w:rsidR="002C451C" w:rsidRPr="0088764D" w:rsidRDefault="002C451C" w:rsidP="00FD04FB">
            <w:pPr>
              <w:suppressLineNumbers/>
              <w:spacing w:after="0" w:line="240" w:lineRule="auto"/>
              <w:jc w:val="left"/>
              <w:outlineLvl w:val="9"/>
              <w:rPr>
                <w:rFonts w:ascii="Arial" w:hAnsi="Arial" w:cs="Arial"/>
                <w:b/>
                <w:color w:val="000000"/>
                <w:sz w:val="20"/>
                <w:szCs w:val="20"/>
                <w:lang w:val="en-US" w:eastAsia="nl-NL" w:bidi="ar-SA"/>
              </w:rPr>
            </w:pPr>
            <w:r w:rsidRPr="0088764D">
              <w:rPr>
                <w:rFonts w:ascii="Arial" w:hAnsi="Arial" w:cs="Arial"/>
                <w:b/>
                <w:color w:val="000000"/>
                <w:sz w:val="20"/>
                <w:szCs w:val="20"/>
                <w:lang w:val="en-US" w:eastAsia="nl-NL" w:bidi="ar-SA"/>
              </w:rPr>
              <w:t>Forward </w:t>
            </w:r>
          </w:p>
        </w:tc>
        <w:tc>
          <w:tcPr>
            <w:tcW w:w="3163" w:type="dxa"/>
            <w:tcBorders>
              <w:top w:val="nil"/>
              <w:left w:val="nil"/>
              <w:bottom w:val="single" w:sz="4" w:space="0" w:color="auto"/>
              <w:right w:val="single" w:sz="4" w:space="0" w:color="auto"/>
            </w:tcBorders>
            <w:shd w:val="clear" w:color="auto" w:fill="auto"/>
            <w:vAlign w:val="center"/>
            <w:hideMark/>
          </w:tcPr>
          <w:p w14:paraId="7409B404" w14:textId="77777777" w:rsidR="002C451C" w:rsidRPr="0088764D" w:rsidRDefault="002C451C" w:rsidP="00FD04FB">
            <w:pPr>
              <w:suppressLineNumbers/>
              <w:spacing w:after="0" w:line="240" w:lineRule="auto"/>
              <w:jc w:val="left"/>
              <w:outlineLvl w:val="9"/>
              <w:rPr>
                <w:rFonts w:ascii="Arial" w:hAnsi="Arial" w:cs="Arial"/>
                <w:b/>
                <w:color w:val="000000"/>
                <w:sz w:val="20"/>
                <w:szCs w:val="20"/>
                <w:lang w:val="en-US" w:eastAsia="nl-NL" w:bidi="ar-SA"/>
              </w:rPr>
            </w:pPr>
            <w:r w:rsidRPr="0088764D">
              <w:rPr>
                <w:rFonts w:ascii="Arial" w:hAnsi="Arial" w:cs="Arial"/>
                <w:b/>
                <w:color w:val="000000"/>
                <w:sz w:val="20"/>
                <w:szCs w:val="20"/>
                <w:lang w:val="en-US" w:eastAsia="nl-NL" w:bidi="ar-SA"/>
              </w:rPr>
              <w:t>Sequence</w:t>
            </w:r>
          </w:p>
        </w:tc>
        <w:tc>
          <w:tcPr>
            <w:tcW w:w="1130" w:type="dxa"/>
            <w:tcBorders>
              <w:top w:val="nil"/>
              <w:left w:val="nil"/>
              <w:bottom w:val="single" w:sz="4" w:space="0" w:color="auto"/>
              <w:right w:val="single" w:sz="4" w:space="0" w:color="auto"/>
            </w:tcBorders>
            <w:shd w:val="clear" w:color="auto" w:fill="auto"/>
            <w:vAlign w:val="center"/>
            <w:hideMark/>
          </w:tcPr>
          <w:p w14:paraId="334BF7F6" w14:textId="77777777" w:rsidR="002C451C" w:rsidRPr="0088764D" w:rsidRDefault="002C451C" w:rsidP="00FD04FB">
            <w:pPr>
              <w:suppressLineNumbers/>
              <w:spacing w:after="0" w:line="240" w:lineRule="auto"/>
              <w:jc w:val="left"/>
              <w:outlineLvl w:val="9"/>
              <w:rPr>
                <w:rFonts w:ascii="Arial" w:hAnsi="Arial" w:cs="Arial"/>
                <w:b/>
                <w:color w:val="000000"/>
                <w:sz w:val="20"/>
                <w:szCs w:val="20"/>
                <w:lang w:val="en-US" w:eastAsia="nl-NL" w:bidi="ar-SA"/>
              </w:rPr>
            </w:pPr>
            <w:r w:rsidRPr="0088764D">
              <w:rPr>
                <w:rFonts w:ascii="Arial" w:hAnsi="Arial" w:cs="Arial"/>
                <w:b/>
                <w:color w:val="000000"/>
                <w:sz w:val="20"/>
                <w:szCs w:val="20"/>
                <w:lang w:val="en-US" w:eastAsia="nl-NL" w:bidi="ar-SA"/>
              </w:rPr>
              <w:t>Reverse</w:t>
            </w:r>
          </w:p>
        </w:tc>
        <w:tc>
          <w:tcPr>
            <w:tcW w:w="3029" w:type="dxa"/>
            <w:tcBorders>
              <w:top w:val="nil"/>
              <w:left w:val="nil"/>
              <w:bottom w:val="single" w:sz="4" w:space="0" w:color="auto"/>
              <w:right w:val="single" w:sz="4" w:space="0" w:color="auto"/>
            </w:tcBorders>
            <w:shd w:val="clear" w:color="auto" w:fill="auto"/>
            <w:vAlign w:val="center"/>
            <w:hideMark/>
          </w:tcPr>
          <w:p w14:paraId="0474719C" w14:textId="77777777" w:rsidR="002C451C" w:rsidRPr="0088764D" w:rsidRDefault="002C451C" w:rsidP="00FD04FB">
            <w:pPr>
              <w:suppressLineNumbers/>
              <w:spacing w:after="0" w:line="240" w:lineRule="auto"/>
              <w:jc w:val="left"/>
              <w:outlineLvl w:val="9"/>
              <w:rPr>
                <w:rFonts w:ascii="Arial" w:hAnsi="Arial" w:cs="Arial"/>
                <w:b/>
                <w:color w:val="000000"/>
                <w:sz w:val="20"/>
                <w:szCs w:val="20"/>
                <w:lang w:val="en-US" w:eastAsia="nl-NL" w:bidi="ar-SA"/>
              </w:rPr>
            </w:pPr>
            <w:proofErr w:type="gramStart"/>
            <w:r w:rsidRPr="0088764D">
              <w:rPr>
                <w:rFonts w:ascii="Arial" w:hAnsi="Arial" w:cs="Arial"/>
                <w:b/>
                <w:color w:val="000000"/>
                <w:sz w:val="20"/>
                <w:szCs w:val="20"/>
                <w:lang w:val="en-US" w:eastAsia="nl-NL" w:bidi="ar-SA"/>
              </w:rPr>
              <w:t>sequence</w:t>
            </w:r>
            <w:proofErr w:type="gramEnd"/>
          </w:p>
        </w:tc>
        <w:tc>
          <w:tcPr>
            <w:tcW w:w="2219" w:type="dxa"/>
            <w:tcBorders>
              <w:top w:val="nil"/>
              <w:left w:val="nil"/>
              <w:bottom w:val="single" w:sz="4" w:space="0" w:color="auto"/>
              <w:right w:val="single" w:sz="4" w:space="0" w:color="auto"/>
            </w:tcBorders>
            <w:shd w:val="clear" w:color="auto" w:fill="auto"/>
            <w:vAlign w:val="center"/>
            <w:hideMark/>
          </w:tcPr>
          <w:p w14:paraId="02372DF7" w14:textId="77777777" w:rsidR="002C451C" w:rsidRPr="0088764D" w:rsidRDefault="002C451C" w:rsidP="00FD04FB">
            <w:pPr>
              <w:suppressLineNumbers/>
              <w:spacing w:after="0" w:line="240" w:lineRule="auto"/>
              <w:jc w:val="left"/>
              <w:outlineLvl w:val="9"/>
              <w:rPr>
                <w:rFonts w:ascii="Arial" w:hAnsi="Arial" w:cs="Arial"/>
                <w:b/>
                <w:color w:val="000000"/>
                <w:sz w:val="20"/>
                <w:szCs w:val="20"/>
                <w:lang w:val="en-US" w:eastAsia="nl-NL" w:bidi="ar-SA"/>
              </w:rPr>
            </w:pPr>
            <w:r w:rsidRPr="0088764D">
              <w:rPr>
                <w:rFonts w:ascii="Arial" w:hAnsi="Arial" w:cs="Arial"/>
                <w:b/>
                <w:color w:val="000000"/>
                <w:sz w:val="20"/>
                <w:szCs w:val="20"/>
                <w:lang w:val="en-US" w:eastAsia="nl-NL" w:bidi="ar-SA"/>
              </w:rPr>
              <w:t>References</w:t>
            </w:r>
          </w:p>
        </w:tc>
      </w:tr>
      <w:tr w:rsidR="002C451C" w:rsidRPr="00D12863" w14:paraId="4B8E18F2" w14:textId="77777777" w:rsidTr="00FD04FB">
        <w:trPr>
          <w:trHeight w:val="345"/>
        </w:trPr>
        <w:tc>
          <w:tcPr>
            <w:tcW w:w="1293" w:type="dxa"/>
            <w:tcBorders>
              <w:top w:val="nil"/>
              <w:left w:val="nil"/>
              <w:bottom w:val="nil"/>
              <w:right w:val="single" w:sz="4" w:space="0" w:color="auto"/>
            </w:tcBorders>
            <w:shd w:val="clear" w:color="auto" w:fill="auto"/>
            <w:noWrap/>
            <w:vAlign w:val="bottom"/>
            <w:hideMark/>
          </w:tcPr>
          <w:p w14:paraId="68F95D03" w14:textId="77777777" w:rsidR="002C451C" w:rsidRPr="0088764D"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r w:rsidRPr="0088764D">
              <w:rPr>
                <w:rFonts w:ascii="Arial" w:hAnsi="Arial" w:cs="Arial"/>
                <w:bCs w:val="0"/>
                <w:color w:val="000000"/>
                <w:sz w:val="20"/>
                <w:szCs w:val="20"/>
                <w:lang w:val="en-US" w:eastAsia="nl-NL" w:bidi="ar-SA"/>
              </w:rPr>
              <w:t>1</w:t>
            </w:r>
          </w:p>
        </w:tc>
        <w:tc>
          <w:tcPr>
            <w:tcW w:w="2257" w:type="dxa"/>
            <w:tcBorders>
              <w:top w:val="nil"/>
              <w:left w:val="nil"/>
              <w:bottom w:val="nil"/>
              <w:right w:val="single" w:sz="4" w:space="0" w:color="auto"/>
            </w:tcBorders>
            <w:shd w:val="clear" w:color="auto" w:fill="auto"/>
            <w:noWrap/>
            <w:vAlign w:val="bottom"/>
            <w:hideMark/>
          </w:tcPr>
          <w:p w14:paraId="41723B05" w14:textId="77777777" w:rsidR="002C451C" w:rsidRPr="0088764D"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proofErr w:type="gramStart"/>
            <w:r>
              <w:rPr>
                <w:rFonts w:ascii="Arial" w:hAnsi="Arial" w:cs="Arial"/>
                <w:bCs w:val="0"/>
                <w:color w:val="000000"/>
                <w:sz w:val="20"/>
                <w:szCs w:val="20"/>
                <w:lang w:val="en-US" w:eastAsia="nl-NL" w:bidi="ar-SA"/>
              </w:rPr>
              <w:t>u</w:t>
            </w:r>
            <w:r w:rsidRPr="0088764D">
              <w:rPr>
                <w:rFonts w:ascii="Arial" w:hAnsi="Arial" w:cs="Arial"/>
                <w:bCs w:val="0"/>
                <w:color w:val="000000"/>
                <w:sz w:val="20"/>
                <w:szCs w:val="20"/>
                <w:lang w:val="en-US" w:eastAsia="nl-NL" w:bidi="ar-SA"/>
              </w:rPr>
              <w:t>niversal</w:t>
            </w:r>
            <w:proofErr w:type="gramEnd"/>
          </w:p>
        </w:tc>
        <w:tc>
          <w:tcPr>
            <w:tcW w:w="1174" w:type="dxa"/>
            <w:tcBorders>
              <w:top w:val="nil"/>
              <w:left w:val="nil"/>
              <w:bottom w:val="nil"/>
              <w:right w:val="single" w:sz="4" w:space="0" w:color="auto"/>
            </w:tcBorders>
            <w:shd w:val="clear" w:color="auto" w:fill="auto"/>
            <w:noWrap/>
            <w:vAlign w:val="bottom"/>
            <w:hideMark/>
          </w:tcPr>
          <w:p w14:paraId="564EFD1E" w14:textId="77777777" w:rsidR="002C451C" w:rsidRPr="0088764D"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r w:rsidRPr="0088764D">
              <w:rPr>
                <w:rFonts w:ascii="Arial" w:hAnsi="Arial" w:cs="Arial"/>
                <w:bCs w:val="0"/>
                <w:color w:val="000000"/>
                <w:sz w:val="20"/>
                <w:szCs w:val="20"/>
                <w:lang w:val="en-US" w:eastAsia="nl-NL" w:bidi="ar-SA"/>
              </w:rPr>
              <w:t>926F</w:t>
            </w:r>
          </w:p>
        </w:tc>
        <w:tc>
          <w:tcPr>
            <w:tcW w:w="3163" w:type="dxa"/>
            <w:tcBorders>
              <w:top w:val="nil"/>
              <w:left w:val="nil"/>
              <w:bottom w:val="nil"/>
              <w:right w:val="single" w:sz="4" w:space="0" w:color="auto"/>
            </w:tcBorders>
            <w:shd w:val="clear" w:color="auto" w:fill="auto"/>
            <w:noWrap/>
            <w:vAlign w:val="bottom"/>
            <w:hideMark/>
          </w:tcPr>
          <w:p w14:paraId="2F513A9F" w14:textId="77777777" w:rsidR="002C451C" w:rsidRPr="0088764D"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r w:rsidRPr="0088764D">
              <w:rPr>
                <w:rFonts w:ascii="Arial" w:hAnsi="Arial" w:cs="Arial"/>
                <w:bCs w:val="0"/>
                <w:color w:val="000000"/>
                <w:sz w:val="20"/>
                <w:szCs w:val="20"/>
                <w:lang w:val="en-US" w:eastAsia="nl-NL" w:bidi="ar-SA"/>
              </w:rPr>
              <w:t>AAACTCAAAKGAATTGACGG</w:t>
            </w:r>
          </w:p>
        </w:tc>
        <w:tc>
          <w:tcPr>
            <w:tcW w:w="1130" w:type="dxa"/>
            <w:tcBorders>
              <w:top w:val="nil"/>
              <w:left w:val="nil"/>
              <w:bottom w:val="nil"/>
              <w:right w:val="single" w:sz="4" w:space="0" w:color="auto"/>
            </w:tcBorders>
            <w:shd w:val="clear" w:color="auto" w:fill="auto"/>
            <w:noWrap/>
            <w:vAlign w:val="bottom"/>
            <w:hideMark/>
          </w:tcPr>
          <w:p w14:paraId="5A42AD9E" w14:textId="77777777" w:rsidR="002C451C" w:rsidRPr="0088764D"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r w:rsidRPr="0088764D">
              <w:rPr>
                <w:rFonts w:ascii="Arial" w:hAnsi="Arial" w:cs="Arial"/>
                <w:bCs w:val="0"/>
                <w:color w:val="000000"/>
                <w:sz w:val="20"/>
                <w:szCs w:val="20"/>
                <w:lang w:val="en-US" w:eastAsia="nl-NL" w:bidi="ar-SA"/>
              </w:rPr>
              <w:t>1062R</w:t>
            </w:r>
          </w:p>
        </w:tc>
        <w:tc>
          <w:tcPr>
            <w:tcW w:w="3029" w:type="dxa"/>
            <w:tcBorders>
              <w:top w:val="nil"/>
              <w:left w:val="nil"/>
              <w:bottom w:val="nil"/>
              <w:right w:val="single" w:sz="4" w:space="0" w:color="auto"/>
            </w:tcBorders>
            <w:shd w:val="clear" w:color="auto" w:fill="auto"/>
            <w:noWrap/>
            <w:vAlign w:val="bottom"/>
            <w:hideMark/>
          </w:tcPr>
          <w:p w14:paraId="4B0B67A8"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88764D">
              <w:rPr>
                <w:rFonts w:ascii="Arial" w:hAnsi="Arial" w:cs="Arial"/>
                <w:bCs w:val="0"/>
                <w:color w:val="000000"/>
                <w:sz w:val="20"/>
                <w:szCs w:val="20"/>
                <w:lang w:val="en-US" w:eastAsia="nl-NL" w:bidi="ar-SA"/>
              </w:rPr>
              <w:t>C</w:t>
            </w:r>
            <w:r w:rsidRPr="002C451C">
              <w:rPr>
                <w:rFonts w:ascii="Arial" w:hAnsi="Arial" w:cs="Arial"/>
                <w:bCs w:val="0"/>
                <w:color w:val="000000"/>
                <w:sz w:val="20"/>
                <w:szCs w:val="20"/>
                <w:lang w:val="en-US" w:eastAsia="nl-NL" w:bidi="ar-SA"/>
              </w:rPr>
              <w:t>TCACRRCACGAGCTGA</w:t>
            </w:r>
            <w:r w:rsidRPr="00D12863">
              <w:rPr>
                <w:rFonts w:ascii="Arial" w:hAnsi="Arial" w:cs="Arial"/>
                <w:bCs w:val="0"/>
                <w:color w:val="000000"/>
                <w:sz w:val="20"/>
                <w:szCs w:val="20"/>
                <w:lang w:eastAsia="nl-NL" w:bidi="ar-SA"/>
              </w:rPr>
              <w:t>C</w:t>
            </w:r>
          </w:p>
        </w:tc>
        <w:tc>
          <w:tcPr>
            <w:tcW w:w="2219" w:type="dxa"/>
            <w:tcBorders>
              <w:top w:val="nil"/>
              <w:left w:val="nil"/>
              <w:bottom w:val="nil"/>
              <w:right w:val="single" w:sz="4" w:space="0" w:color="auto"/>
            </w:tcBorders>
            <w:shd w:val="clear" w:color="auto" w:fill="auto"/>
            <w:noWrap/>
            <w:vAlign w:val="bottom"/>
            <w:hideMark/>
          </w:tcPr>
          <w:p w14:paraId="0F946908"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 xml:space="preserve">Yang </w:t>
            </w:r>
            <w:proofErr w:type="spellStart"/>
            <w:r w:rsidRPr="00D12863">
              <w:rPr>
                <w:rFonts w:ascii="Arial" w:hAnsi="Arial" w:cs="Arial"/>
                <w:bCs w:val="0"/>
                <w:color w:val="000000"/>
                <w:sz w:val="20"/>
                <w:szCs w:val="20"/>
                <w:lang w:eastAsia="nl-NL" w:bidi="ar-SA"/>
              </w:rPr>
              <w:t>and</w:t>
            </w:r>
            <w:proofErr w:type="spellEnd"/>
            <w:r w:rsidRPr="00D12863">
              <w:rPr>
                <w:rFonts w:ascii="Arial" w:hAnsi="Arial" w:cs="Arial"/>
                <w:bCs w:val="0"/>
                <w:color w:val="000000"/>
                <w:sz w:val="20"/>
                <w:szCs w:val="20"/>
                <w:lang w:eastAsia="nl-NL" w:bidi="ar-SA"/>
              </w:rPr>
              <w:t xml:space="preserve"> De </w:t>
            </w:r>
            <w:proofErr w:type="spellStart"/>
            <w:r w:rsidRPr="00D12863">
              <w:rPr>
                <w:rFonts w:ascii="Arial" w:hAnsi="Arial" w:cs="Arial"/>
                <w:bCs w:val="0"/>
                <w:color w:val="000000"/>
                <w:sz w:val="20"/>
                <w:szCs w:val="20"/>
                <w:lang w:eastAsia="nl-NL" w:bidi="ar-SA"/>
              </w:rPr>
              <w:t>Gregoris</w:t>
            </w:r>
            <w:proofErr w:type="spellEnd"/>
          </w:p>
        </w:tc>
      </w:tr>
      <w:tr w:rsidR="002C451C" w:rsidRPr="00D12863" w14:paraId="4704604D" w14:textId="77777777" w:rsidTr="00FD04FB">
        <w:trPr>
          <w:trHeight w:val="300"/>
        </w:trPr>
        <w:tc>
          <w:tcPr>
            <w:tcW w:w="1293" w:type="dxa"/>
            <w:tcBorders>
              <w:top w:val="nil"/>
              <w:left w:val="nil"/>
              <w:bottom w:val="nil"/>
              <w:right w:val="single" w:sz="4" w:space="0" w:color="auto"/>
            </w:tcBorders>
            <w:shd w:val="clear" w:color="auto" w:fill="auto"/>
            <w:noWrap/>
            <w:vAlign w:val="bottom"/>
            <w:hideMark/>
          </w:tcPr>
          <w:p w14:paraId="255FC8DE"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2</w:t>
            </w:r>
          </w:p>
        </w:tc>
        <w:tc>
          <w:tcPr>
            <w:tcW w:w="2257" w:type="dxa"/>
            <w:tcBorders>
              <w:top w:val="nil"/>
              <w:left w:val="nil"/>
              <w:bottom w:val="nil"/>
              <w:right w:val="single" w:sz="4" w:space="0" w:color="auto"/>
            </w:tcBorders>
            <w:shd w:val="clear" w:color="auto" w:fill="auto"/>
            <w:noWrap/>
            <w:vAlign w:val="bottom"/>
            <w:hideMark/>
          </w:tcPr>
          <w:p w14:paraId="66A9B507"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proofErr w:type="spellStart"/>
            <w:r w:rsidRPr="00D12863">
              <w:rPr>
                <w:rFonts w:ascii="Arial" w:hAnsi="Arial" w:cs="Arial"/>
                <w:bCs w:val="0"/>
                <w:color w:val="000000"/>
                <w:sz w:val="20"/>
                <w:szCs w:val="20"/>
                <w:lang w:eastAsia="nl-NL" w:bidi="ar-SA"/>
              </w:rPr>
              <w:t>Gammaproteobacteria</w:t>
            </w:r>
            <w:proofErr w:type="spellEnd"/>
          </w:p>
        </w:tc>
        <w:tc>
          <w:tcPr>
            <w:tcW w:w="1174" w:type="dxa"/>
            <w:tcBorders>
              <w:top w:val="nil"/>
              <w:left w:val="nil"/>
              <w:bottom w:val="nil"/>
              <w:right w:val="single" w:sz="4" w:space="0" w:color="auto"/>
            </w:tcBorders>
            <w:shd w:val="clear" w:color="auto" w:fill="auto"/>
            <w:noWrap/>
            <w:vAlign w:val="bottom"/>
            <w:hideMark/>
          </w:tcPr>
          <w:p w14:paraId="1792B938"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1080γF</w:t>
            </w:r>
          </w:p>
        </w:tc>
        <w:tc>
          <w:tcPr>
            <w:tcW w:w="3163" w:type="dxa"/>
            <w:tcBorders>
              <w:top w:val="nil"/>
              <w:left w:val="nil"/>
              <w:bottom w:val="nil"/>
              <w:right w:val="single" w:sz="4" w:space="0" w:color="auto"/>
            </w:tcBorders>
            <w:shd w:val="clear" w:color="auto" w:fill="auto"/>
            <w:noWrap/>
            <w:vAlign w:val="bottom"/>
            <w:hideMark/>
          </w:tcPr>
          <w:p w14:paraId="72D84D7E"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TCGTCAGCTCGTGTYGTGA</w:t>
            </w:r>
          </w:p>
        </w:tc>
        <w:tc>
          <w:tcPr>
            <w:tcW w:w="1130" w:type="dxa"/>
            <w:tcBorders>
              <w:top w:val="nil"/>
              <w:left w:val="nil"/>
              <w:bottom w:val="nil"/>
              <w:right w:val="single" w:sz="4" w:space="0" w:color="auto"/>
            </w:tcBorders>
            <w:shd w:val="clear" w:color="auto" w:fill="auto"/>
            <w:noWrap/>
            <w:vAlign w:val="bottom"/>
            <w:hideMark/>
          </w:tcPr>
          <w:p w14:paraId="6F21C4CB"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γ1202R</w:t>
            </w:r>
          </w:p>
        </w:tc>
        <w:tc>
          <w:tcPr>
            <w:tcW w:w="3029" w:type="dxa"/>
            <w:tcBorders>
              <w:top w:val="nil"/>
              <w:left w:val="nil"/>
              <w:bottom w:val="nil"/>
              <w:right w:val="single" w:sz="4" w:space="0" w:color="auto"/>
            </w:tcBorders>
            <w:shd w:val="clear" w:color="auto" w:fill="auto"/>
            <w:noWrap/>
            <w:vAlign w:val="bottom"/>
            <w:hideMark/>
          </w:tcPr>
          <w:p w14:paraId="7D87A0D8"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CGTAAGGGGCCATGATG</w:t>
            </w:r>
          </w:p>
        </w:tc>
        <w:tc>
          <w:tcPr>
            <w:tcW w:w="2219" w:type="dxa"/>
            <w:tcBorders>
              <w:top w:val="nil"/>
              <w:left w:val="nil"/>
              <w:bottom w:val="nil"/>
              <w:right w:val="single" w:sz="4" w:space="0" w:color="auto"/>
            </w:tcBorders>
            <w:shd w:val="clear" w:color="auto" w:fill="auto"/>
            <w:noWrap/>
            <w:vAlign w:val="bottom"/>
            <w:hideMark/>
          </w:tcPr>
          <w:p w14:paraId="57327D79"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 xml:space="preserve">De </w:t>
            </w:r>
            <w:proofErr w:type="spellStart"/>
            <w:r w:rsidRPr="00D12863">
              <w:rPr>
                <w:rFonts w:ascii="Arial" w:hAnsi="Arial" w:cs="Arial"/>
                <w:bCs w:val="0"/>
                <w:color w:val="000000"/>
                <w:sz w:val="20"/>
                <w:szCs w:val="20"/>
                <w:lang w:eastAsia="nl-NL" w:bidi="ar-SA"/>
              </w:rPr>
              <w:t>Gregoris</w:t>
            </w:r>
            <w:proofErr w:type="spellEnd"/>
            <w:r w:rsidRPr="00D12863">
              <w:rPr>
                <w:rFonts w:ascii="Arial" w:hAnsi="Arial" w:cs="Arial"/>
                <w:bCs w:val="0"/>
                <w:color w:val="000000"/>
                <w:sz w:val="20"/>
                <w:szCs w:val="20"/>
                <w:lang w:eastAsia="nl-NL" w:bidi="ar-SA"/>
              </w:rPr>
              <w:t> </w:t>
            </w:r>
          </w:p>
        </w:tc>
      </w:tr>
      <w:tr w:rsidR="002C451C" w:rsidRPr="00D12863" w14:paraId="328D40A2" w14:textId="77777777" w:rsidTr="00FD04FB">
        <w:trPr>
          <w:trHeight w:val="300"/>
        </w:trPr>
        <w:tc>
          <w:tcPr>
            <w:tcW w:w="1293" w:type="dxa"/>
            <w:tcBorders>
              <w:top w:val="nil"/>
              <w:left w:val="nil"/>
              <w:bottom w:val="nil"/>
              <w:right w:val="single" w:sz="4" w:space="0" w:color="auto"/>
            </w:tcBorders>
            <w:shd w:val="clear" w:color="auto" w:fill="auto"/>
            <w:noWrap/>
            <w:vAlign w:val="bottom"/>
            <w:hideMark/>
          </w:tcPr>
          <w:p w14:paraId="0DEF3F8B"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3</w:t>
            </w:r>
          </w:p>
        </w:tc>
        <w:tc>
          <w:tcPr>
            <w:tcW w:w="2257" w:type="dxa"/>
            <w:tcBorders>
              <w:top w:val="nil"/>
              <w:left w:val="nil"/>
              <w:bottom w:val="nil"/>
              <w:right w:val="single" w:sz="4" w:space="0" w:color="auto"/>
            </w:tcBorders>
            <w:shd w:val="clear" w:color="auto" w:fill="auto"/>
            <w:noWrap/>
            <w:vAlign w:val="bottom"/>
            <w:hideMark/>
          </w:tcPr>
          <w:p w14:paraId="2E657B9B"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proofErr w:type="spellStart"/>
            <w:r w:rsidRPr="00D12863">
              <w:rPr>
                <w:rFonts w:ascii="Arial" w:hAnsi="Arial" w:cs="Arial"/>
                <w:bCs w:val="0"/>
                <w:color w:val="000000"/>
                <w:sz w:val="20"/>
                <w:szCs w:val="20"/>
                <w:lang w:eastAsia="nl-NL" w:bidi="ar-SA"/>
              </w:rPr>
              <w:t>Firmicutes</w:t>
            </w:r>
            <w:proofErr w:type="spellEnd"/>
          </w:p>
        </w:tc>
        <w:tc>
          <w:tcPr>
            <w:tcW w:w="1174" w:type="dxa"/>
            <w:tcBorders>
              <w:top w:val="nil"/>
              <w:left w:val="nil"/>
              <w:bottom w:val="nil"/>
              <w:right w:val="single" w:sz="4" w:space="0" w:color="auto"/>
            </w:tcBorders>
            <w:shd w:val="clear" w:color="auto" w:fill="auto"/>
            <w:noWrap/>
            <w:vAlign w:val="bottom"/>
            <w:hideMark/>
          </w:tcPr>
          <w:p w14:paraId="0643C76C"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928F-Firm</w:t>
            </w:r>
          </w:p>
        </w:tc>
        <w:tc>
          <w:tcPr>
            <w:tcW w:w="3163" w:type="dxa"/>
            <w:tcBorders>
              <w:top w:val="nil"/>
              <w:left w:val="nil"/>
              <w:bottom w:val="nil"/>
              <w:right w:val="single" w:sz="4" w:space="0" w:color="auto"/>
            </w:tcBorders>
            <w:shd w:val="clear" w:color="auto" w:fill="auto"/>
            <w:noWrap/>
            <w:vAlign w:val="bottom"/>
            <w:hideMark/>
          </w:tcPr>
          <w:p w14:paraId="7146331A"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TGAAACTYAAAGGAATTGACG</w:t>
            </w:r>
          </w:p>
        </w:tc>
        <w:tc>
          <w:tcPr>
            <w:tcW w:w="1130" w:type="dxa"/>
            <w:tcBorders>
              <w:top w:val="nil"/>
              <w:left w:val="nil"/>
              <w:bottom w:val="nil"/>
              <w:right w:val="single" w:sz="4" w:space="0" w:color="auto"/>
            </w:tcBorders>
            <w:shd w:val="clear" w:color="auto" w:fill="auto"/>
            <w:noWrap/>
            <w:vAlign w:val="bottom"/>
            <w:hideMark/>
          </w:tcPr>
          <w:p w14:paraId="2D23677B"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1040FirmR</w:t>
            </w:r>
          </w:p>
        </w:tc>
        <w:tc>
          <w:tcPr>
            <w:tcW w:w="3029" w:type="dxa"/>
            <w:tcBorders>
              <w:top w:val="nil"/>
              <w:left w:val="nil"/>
              <w:bottom w:val="nil"/>
              <w:right w:val="single" w:sz="4" w:space="0" w:color="auto"/>
            </w:tcBorders>
            <w:shd w:val="clear" w:color="auto" w:fill="auto"/>
            <w:noWrap/>
            <w:vAlign w:val="bottom"/>
            <w:hideMark/>
          </w:tcPr>
          <w:p w14:paraId="4245970D"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ACCATGCACCACCTGTC</w:t>
            </w:r>
          </w:p>
        </w:tc>
        <w:tc>
          <w:tcPr>
            <w:tcW w:w="2219" w:type="dxa"/>
            <w:tcBorders>
              <w:top w:val="nil"/>
              <w:left w:val="nil"/>
              <w:bottom w:val="nil"/>
              <w:right w:val="single" w:sz="4" w:space="0" w:color="auto"/>
            </w:tcBorders>
            <w:shd w:val="clear" w:color="auto" w:fill="auto"/>
            <w:noWrap/>
            <w:vAlign w:val="bottom"/>
            <w:hideMark/>
          </w:tcPr>
          <w:p w14:paraId="02C09E80"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 xml:space="preserve">De </w:t>
            </w:r>
            <w:proofErr w:type="spellStart"/>
            <w:r w:rsidRPr="00D12863">
              <w:rPr>
                <w:rFonts w:ascii="Arial" w:hAnsi="Arial" w:cs="Arial"/>
                <w:bCs w:val="0"/>
                <w:color w:val="000000"/>
                <w:sz w:val="20"/>
                <w:szCs w:val="20"/>
                <w:lang w:eastAsia="nl-NL" w:bidi="ar-SA"/>
              </w:rPr>
              <w:t>Gregoris</w:t>
            </w:r>
            <w:proofErr w:type="spellEnd"/>
            <w:r w:rsidRPr="00D12863">
              <w:rPr>
                <w:rFonts w:ascii="Arial" w:hAnsi="Arial" w:cs="Arial"/>
                <w:bCs w:val="0"/>
                <w:color w:val="000000"/>
                <w:sz w:val="20"/>
                <w:szCs w:val="20"/>
                <w:lang w:eastAsia="nl-NL" w:bidi="ar-SA"/>
              </w:rPr>
              <w:t> </w:t>
            </w:r>
          </w:p>
        </w:tc>
      </w:tr>
      <w:tr w:rsidR="002C451C" w:rsidRPr="00D12863" w14:paraId="174755D8" w14:textId="77777777" w:rsidTr="00FD04FB">
        <w:trPr>
          <w:trHeight w:val="300"/>
        </w:trPr>
        <w:tc>
          <w:tcPr>
            <w:tcW w:w="1293" w:type="dxa"/>
            <w:tcBorders>
              <w:top w:val="nil"/>
              <w:left w:val="nil"/>
              <w:bottom w:val="nil"/>
              <w:right w:val="single" w:sz="4" w:space="0" w:color="auto"/>
            </w:tcBorders>
            <w:shd w:val="clear" w:color="auto" w:fill="auto"/>
            <w:noWrap/>
            <w:vAlign w:val="bottom"/>
            <w:hideMark/>
          </w:tcPr>
          <w:p w14:paraId="6FF5602A"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4</w:t>
            </w:r>
          </w:p>
        </w:tc>
        <w:tc>
          <w:tcPr>
            <w:tcW w:w="2257" w:type="dxa"/>
            <w:tcBorders>
              <w:top w:val="nil"/>
              <w:left w:val="nil"/>
              <w:bottom w:val="nil"/>
              <w:right w:val="single" w:sz="4" w:space="0" w:color="auto"/>
            </w:tcBorders>
            <w:shd w:val="clear" w:color="auto" w:fill="auto"/>
            <w:noWrap/>
            <w:vAlign w:val="bottom"/>
            <w:hideMark/>
          </w:tcPr>
          <w:p w14:paraId="33772FE2"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proofErr w:type="spellStart"/>
            <w:r w:rsidRPr="00D12863">
              <w:rPr>
                <w:rFonts w:ascii="Arial" w:hAnsi="Arial" w:cs="Arial"/>
                <w:bCs w:val="0"/>
                <w:color w:val="000000"/>
                <w:sz w:val="20"/>
                <w:szCs w:val="20"/>
                <w:lang w:eastAsia="nl-NL" w:bidi="ar-SA"/>
              </w:rPr>
              <w:t>Bacteroides</w:t>
            </w:r>
            <w:proofErr w:type="spellEnd"/>
          </w:p>
        </w:tc>
        <w:tc>
          <w:tcPr>
            <w:tcW w:w="1174" w:type="dxa"/>
            <w:tcBorders>
              <w:top w:val="nil"/>
              <w:left w:val="nil"/>
              <w:bottom w:val="nil"/>
              <w:right w:val="single" w:sz="4" w:space="0" w:color="auto"/>
            </w:tcBorders>
            <w:shd w:val="clear" w:color="auto" w:fill="auto"/>
            <w:noWrap/>
            <w:vAlign w:val="bottom"/>
            <w:hideMark/>
          </w:tcPr>
          <w:p w14:paraId="7E74B80E"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Bac960F</w:t>
            </w:r>
          </w:p>
        </w:tc>
        <w:tc>
          <w:tcPr>
            <w:tcW w:w="3163" w:type="dxa"/>
            <w:tcBorders>
              <w:top w:val="nil"/>
              <w:left w:val="nil"/>
              <w:bottom w:val="nil"/>
              <w:right w:val="single" w:sz="4" w:space="0" w:color="auto"/>
            </w:tcBorders>
            <w:shd w:val="clear" w:color="auto" w:fill="auto"/>
            <w:noWrap/>
            <w:vAlign w:val="bottom"/>
            <w:hideMark/>
          </w:tcPr>
          <w:p w14:paraId="5EC5F1D0"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GTTTAATTCGATGATACGCGAG</w:t>
            </w:r>
          </w:p>
        </w:tc>
        <w:tc>
          <w:tcPr>
            <w:tcW w:w="1130" w:type="dxa"/>
            <w:tcBorders>
              <w:top w:val="nil"/>
              <w:left w:val="nil"/>
              <w:bottom w:val="nil"/>
              <w:right w:val="single" w:sz="4" w:space="0" w:color="auto"/>
            </w:tcBorders>
            <w:shd w:val="clear" w:color="auto" w:fill="auto"/>
            <w:noWrap/>
            <w:vAlign w:val="bottom"/>
            <w:hideMark/>
          </w:tcPr>
          <w:p w14:paraId="6ADA94CC"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Bac1100R</w:t>
            </w:r>
          </w:p>
        </w:tc>
        <w:tc>
          <w:tcPr>
            <w:tcW w:w="3029" w:type="dxa"/>
            <w:tcBorders>
              <w:top w:val="nil"/>
              <w:left w:val="nil"/>
              <w:bottom w:val="nil"/>
              <w:right w:val="single" w:sz="4" w:space="0" w:color="auto"/>
            </w:tcBorders>
            <w:shd w:val="clear" w:color="auto" w:fill="auto"/>
            <w:noWrap/>
            <w:vAlign w:val="bottom"/>
            <w:hideMark/>
          </w:tcPr>
          <w:p w14:paraId="5E8B46F3"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TTAASCCGACACCTCACGG</w:t>
            </w:r>
          </w:p>
        </w:tc>
        <w:tc>
          <w:tcPr>
            <w:tcW w:w="2219" w:type="dxa"/>
            <w:tcBorders>
              <w:top w:val="nil"/>
              <w:left w:val="nil"/>
              <w:bottom w:val="nil"/>
              <w:right w:val="single" w:sz="4" w:space="0" w:color="auto"/>
            </w:tcBorders>
            <w:shd w:val="clear" w:color="auto" w:fill="auto"/>
            <w:noWrap/>
            <w:vAlign w:val="bottom"/>
            <w:hideMark/>
          </w:tcPr>
          <w:p w14:paraId="202DC766"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Yang </w:t>
            </w:r>
          </w:p>
        </w:tc>
      </w:tr>
      <w:tr w:rsidR="002C451C" w:rsidRPr="00D12863" w14:paraId="39D0F457" w14:textId="77777777" w:rsidTr="00FD04FB">
        <w:trPr>
          <w:trHeight w:val="300"/>
        </w:trPr>
        <w:tc>
          <w:tcPr>
            <w:tcW w:w="1293" w:type="dxa"/>
            <w:tcBorders>
              <w:top w:val="nil"/>
              <w:left w:val="nil"/>
              <w:bottom w:val="nil"/>
              <w:right w:val="single" w:sz="4" w:space="0" w:color="auto"/>
            </w:tcBorders>
            <w:shd w:val="clear" w:color="auto" w:fill="auto"/>
            <w:noWrap/>
            <w:vAlign w:val="bottom"/>
            <w:hideMark/>
          </w:tcPr>
          <w:p w14:paraId="26B50561"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5</w:t>
            </w:r>
          </w:p>
        </w:tc>
        <w:tc>
          <w:tcPr>
            <w:tcW w:w="2257" w:type="dxa"/>
            <w:tcBorders>
              <w:top w:val="nil"/>
              <w:left w:val="nil"/>
              <w:bottom w:val="nil"/>
              <w:right w:val="single" w:sz="4" w:space="0" w:color="auto"/>
            </w:tcBorders>
            <w:shd w:val="clear" w:color="auto" w:fill="auto"/>
            <w:noWrap/>
            <w:vAlign w:val="bottom"/>
            <w:hideMark/>
          </w:tcPr>
          <w:p w14:paraId="099C1FC6"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proofErr w:type="spellStart"/>
            <w:r w:rsidRPr="00D12863">
              <w:rPr>
                <w:rFonts w:ascii="Arial" w:hAnsi="Arial" w:cs="Arial"/>
                <w:bCs w:val="0"/>
                <w:color w:val="000000"/>
                <w:sz w:val="20"/>
                <w:szCs w:val="20"/>
                <w:lang w:eastAsia="nl-NL" w:bidi="ar-SA"/>
              </w:rPr>
              <w:t>Actinobacteria</w:t>
            </w:r>
            <w:proofErr w:type="spellEnd"/>
          </w:p>
        </w:tc>
        <w:tc>
          <w:tcPr>
            <w:tcW w:w="1174" w:type="dxa"/>
            <w:tcBorders>
              <w:top w:val="nil"/>
              <w:left w:val="nil"/>
              <w:bottom w:val="nil"/>
              <w:right w:val="single" w:sz="4" w:space="0" w:color="auto"/>
            </w:tcBorders>
            <w:shd w:val="clear" w:color="auto" w:fill="auto"/>
            <w:noWrap/>
            <w:vAlign w:val="bottom"/>
            <w:hideMark/>
          </w:tcPr>
          <w:p w14:paraId="457BB7FC"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Act664F</w:t>
            </w:r>
          </w:p>
        </w:tc>
        <w:tc>
          <w:tcPr>
            <w:tcW w:w="3163" w:type="dxa"/>
            <w:tcBorders>
              <w:top w:val="nil"/>
              <w:left w:val="nil"/>
              <w:bottom w:val="nil"/>
              <w:right w:val="single" w:sz="4" w:space="0" w:color="auto"/>
            </w:tcBorders>
            <w:shd w:val="clear" w:color="auto" w:fill="auto"/>
            <w:noWrap/>
            <w:vAlign w:val="bottom"/>
            <w:hideMark/>
          </w:tcPr>
          <w:p w14:paraId="364E1C35"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TGTAGCGGTGGAATGCGC</w:t>
            </w:r>
          </w:p>
        </w:tc>
        <w:tc>
          <w:tcPr>
            <w:tcW w:w="1130" w:type="dxa"/>
            <w:tcBorders>
              <w:top w:val="nil"/>
              <w:left w:val="nil"/>
              <w:bottom w:val="nil"/>
              <w:right w:val="single" w:sz="4" w:space="0" w:color="auto"/>
            </w:tcBorders>
            <w:shd w:val="clear" w:color="auto" w:fill="auto"/>
            <w:noWrap/>
            <w:vAlign w:val="bottom"/>
            <w:hideMark/>
          </w:tcPr>
          <w:p w14:paraId="6D9CF90A"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Act941R</w:t>
            </w:r>
          </w:p>
        </w:tc>
        <w:tc>
          <w:tcPr>
            <w:tcW w:w="3029" w:type="dxa"/>
            <w:tcBorders>
              <w:top w:val="nil"/>
              <w:left w:val="nil"/>
              <w:bottom w:val="nil"/>
              <w:right w:val="single" w:sz="4" w:space="0" w:color="auto"/>
            </w:tcBorders>
            <w:shd w:val="clear" w:color="auto" w:fill="auto"/>
            <w:noWrap/>
            <w:vAlign w:val="bottom"/>
            <w:hideMark/>
          </w:tcPr>
          <w:p w14:paraId="3A0AE207"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AATTAAGCCACATGCTCCGCT</w:t>
            </w:r>
          </w:p>
        </w:tc>
        <w:tc>
          <w:tcPr>
            <w:tcW w:w="2219" w:type="dxa"/>
            <w:tcBorders>
              <w:top w:val="nil"/>
              <w:left w:val="nil"/>
              <w:bottom w:val="nil"/>
              <w:right w:val="single" w:sz="4" w:space="0" w:color="auto"/>
            </w:tcBorders>
            <w:shd w:val="clear" w:color="auto" w:fill="auto"/>
            <w:noWrap/>
            <w:vAlign w:val="bottom"/>
            <w:hideMark/>
          </w:tcPr>
          <w:p w14:paraId="4E8E07E0" w14:textId="77777777" w:rsidR="002C451C" w:rsidRPr="00D12863"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D12863">
              <w:rPr>
                <w:rFonts w:ascii="Arial" w:hAnsi="Arial" w:cs="Arial"/>
                <w:bCs w:val="0"/>
                <w:color w:val="000000"/>
                <w:sz w:val="20"/>
                <w:szCs w:val="20"/>
                <w:lang w:eastAsia="nl-NL" w:bidi="ar-SA"/>
              </w:rPr>
              <w:t>Yang​</w:t>
            </w:r>
          </w:p>
        </w:tc>
      </w:tr>
    </w:tbl>
    <w:p w14:paraId="203A90E3" w14:textId="77777777" w:rsidR="002C451C" w:rsidRDefault="002C451C" w:rsidP="002C451C">
      <w:pPr>
        <w:suppressLineNumbers/>
        <w:spacing w:line="480" w:lineRule="auto"/>
        <w:rPr>
          <w:b/>
          <w:lang w:val="en-US"/>
        </w:rPr>
      </w:pPr>
    </w:p>
    <w:p w14:paraId="01D521CC" w14:textId="77777777" w:rsidR="002C451C" w:rsidRPr="00A07A41" w:rsidRDefault="00FD04FB" w:rsidP="002C451C">
      <w:pPr>
        <w:suppressLineNumbers/>
        <w:spacing w:line="480" w:lineRule="auto"/>
        <w:rPr>
          <w:b/>
          <w:sz w:val="24"/>
          <w:szCs w:val="24"/>
          <w:lang w:val="en-US"/>
        </w:rPr>
      </w:pPr>
      <w:r>
        <w:rPr>
          <w:b/>
          <w:sz w:val="24"/>
          <w:szCs w:val="24"/>
          <w:lang w:val="en-US"/>
        </w:rPr>
        <w:t>Supplementary</w:t>
      </w:r>
      <w:r w:rsidR="002C451C" w:rsidRPr="00A07A41">
        <w:rPr>
          <w:b/>
          <w:sz w:val="24"/>
          <w:szCs w:val="24"/>
          <w:lang w:val="en-US"/>
        </w:rPr>
        <w:t xml:space="preserve"> Table </w:t>
      </w:r>
      <w:r>
        <w:rPr>
          <w:b/>
          <w:sz w:val="24"/>
          <w:szCs w:val="24"/>
          <w:lang w:val="en-US"/>
        </w:rPr>
        <w:t>3</w:t>
      </w:r>
      <w:r w:rsidR="002C451C" w:rsidRPr="00A07A41">
        <w:rPr>
          <w:b/>
          <w:sz w:val="24"/>
          <w:szCs w:val="24"/>
          <w:lang w:val="en-US"/>
        </w:rPr>
        <w:t xml:space="preserve">: specificity of </w:t>
      </w:r>
      <w:proofErr w:type="spellStart"/>
      <w:r w:rsidR="002C451C" w:rsidRPr="00A07A41">
        <w:rPr>
          <w:b/>
          <w:sz w:val="24"/>
          <w:szCs w:val="24"/>
          <w:lang w:val="en-US"/>
        </w:rPr>
        <w:t>qPCR</w:t>
      </w:r>
      <w:proofErr w:type="spellEnd"/>
      <w:r w:rsidR="002C451C" w:rsidRPr="00A07A41">
        <w:rPr>
          <w:b/>
          <w:sz w:val="24"/>
          <w:szCs w:val="24"/>
          <w:lang w:val="en-US"/>
        </w:rPr>
        <w:t xml:space="preserve"> primer pairs based on the RDP II database</w:t>
      </w:r>
    </w:p>
    <w:tbl>
      <w:tblPr>
        <w:tblW w:w="8200" w:type="dxa"/>
        <w:tblInd w:w="70" w:type="dxa"/>
        <w:tblCellMar>
          <w:left w:w="70" w:type="dxa"/>
          <w:right w:w="70" w:type="dxa"/>
        </w:tblCellMar>
        <w:tblLook w:val="04A0" w:firstRow="1" w:lastRow="0" w:firstColumn="1" w:lastColumn="0" w:noHBand="0" w:noVBand="1"/>
      </w:tblPr>
      <w:tblGrid>
        <w:gridCol w:w="976"/>
        <w:gridCol w:w="2270"/>
        <w:gridCol w:w="1009"/>
        <w:gridCol w:w="1017"/>
        <w:gridCol w:w="976"/>
        <w:gridCol w:w="976"/>
        <w:gridCol w:w="976"/>
      </w:tblGrid>
      <w:tr w:rsidR="002C451C" w:rsidRPr="00477139" w14:paraId="6FC4C251" w14:textId="77777777" w:rsidTr="00FD04FB">
        <w:trPr>
          <w:trHeight w:val="300"/>
        </w:trPr>
        <w:tc>
          <w:tcPr>
            <w:tcW w:w="976" w:type="dxa"/>
            <w:tcBorders>
              <w:top w:val="nil"/>
              <w:left w:val="nil"/>
              <w:bottom w:val="nil"/>
              <w:right w:val="nil"/>
            </w:tcBorders>
            <w:shd w:val="clear" w:color="auto" w:fill="auto"/>
            <w:noWrap/>
            <w:vAlign w:val="bottom"/>
            <w:hideMark/>
          </w:tcPr>
          <w:p w14:paraId="687E2D9A"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p>
        </w:tc>
        <w:tc>
          <w:tcPr>
            <w:tcW w:w="4296" w:type="dxa"/>
            <w:gridSpan w:val="3"/>
            <w:tcBorders>
              <w:top w:val="nil"/>
              <w:left w:val="nil"/>
              <w:bottom w:val="nil"/>
              <w:right w:val="nil"/>
            </w:tcBorders>
            <w:shd w:val="clear" w:color="auto" w:fill="auto"/>
            <w:noWrap/>
            <w:vAlign w:val="bottom"/>
            <w:hideMark/>
          </w:tcPr>
          <w:p w14:paraId="4BA86A61" w14:textId="77777777" w:rsidR="002C451C" w:rsidRPr="00EE5AB1" w:rsidRDefault="002C451C" w:rsidP="00FD04FB">
            <w:pPr>
              <w:suppressLineNumbers/>
              <w:spacing w:after="0" w:line="240" w:lineRule="auto"/>
              <w:jc w:val="left"/>
              <w:outlineLvl w:val="9"/>
              <w:rPr>
                <w:rFonts w:ascii="Arial" w:hAnsi="Arial" w:cs="Arial"/>
                <w:b/>
                <w:color w:val="000000"/>
                <w:sz w:val="20"/>
                <w:szCs w:val="20"/>
                <w:lang w:val="en-US" w:eastAsia="nl-NL" w:bidi="ar-SA"/>
              </w:rPr>
            </w:pPr>
            <w:r w:rsidRPr="00EE5AB1">
              <w:rPr>
                <w:rFonts w:ascii="Arial" w:hAnsi="Arial" w:cs="Arial"/>
                <w:b/>
                <w:color w:val="000000"/>
                <w:sz w:val="20"/>
                <w:szCs w:val="20"/>
                <w:lang w:val="en-US" w:eastAsia="nl-NL" w:bidi="ar-SA"/>
              </w:rPr>
              <w:t>Primer specificity RDP II (Probe Match)</w:t>
            </w:r>
          </w:p>
        </w:tc>
        <w:tc>
          <w:tcPr>
            <w:tcW w:w="976" w:type="dxa"/>
            <w:tcBorders>
              <w:top w:val="nil"/>
              <w:left w:val="nil"/>
              <w:bottom w:val="nil"/>
              <w:right w:val="nil"/>
            </w:tcBorders>
            <w:shd w:val="clear" w:color="auto" w:fill="auto"/>
            <w:noWrap/>
            <w:vAlign w:val="bottom"/>
            <w:hideMark/>
          </w:tcPr>
          <w:p w14:paraId="1705D844"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p>
        </w:tc>
        <w:tc>
          <w:tcPr>
            <w:tcW w:w="976" w:type="dxa"/>
            <w:tcBorders>
              <w:top w:val="nil"/>
              <w:left w:val="nil"/>
              <w:bottom w:val="nil"/>
              <w:right w:val="nil"/>
            </w:tcBorders>
            <w:shd w:val="clear" w:color="auto" w:fill="auto"/>
            <w:noWrap/>
            <w:vAlign w:val="bottom"/>
            <w:hideMark/>
          </w:tcPr>
          <w:p w14:paraId="5646780D"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p>
        </w:tc>
        <w:tc>
          <w:tcPr>
            <w:tcW w:w="976" w:type="dxa"/>
            <w:tcBorders>
              <w:top w:val="nil"/>
              <w:left w:val="nil"/>
              <w:bottom w:val="nil"/>
              <w:right w:val="nil"/>
            </w:tcBorders>
            <w:shd w:val="clear" w:color="auto" w:fill="auto"/>
            <w:noWrap/>
            <w:vAlign w:val="bottom"/>
            <w:hideMark/>
          </w:tcPr>
          <w:p w14:paraId="68787245"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p>
        </w:tc>
      </w:tr>
      <w:tr w:rsidR="002C451C" w:rsidRPr="007E5A52" w14:paraId="29A4A259" w14:textId="77777777" w:rsidTr="00FD04FB">
        <w:trPr>
          <w:trHeight w:val="300"/>
        </w:trPr>
        <w:tc>
          <w:tcPr>
            <w:tcW w:w="976" w:type="dxa"/>
            <w:tcBorders>
              <w:top w:val="nil"/>
              <w:left w:val="nil"/>
              <w:bottom w:val="nil"/>
              <w:right w:val="nil"/>
            </w:tcBorders>
            <w:shd w:val="clear" w:color="auto" w:fill="auto"/>
            <w:noWrap/>
            <w:vAlign w:val="bottom"/>
            <w:hideMark/>
          </w:tcPr>
          <w:p w14:paraId="6A5F83ED"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p>
        </w:tc>
        <w:tc>
          <w:tcPr>
            <w:tcW w:w="2270" w:type="dxa"/>
            <w:tcBorders>
              <w:top w:val="nil"/>
              <w:left w:val="nil"/>
              <w:bottom w:val="nil"/>
              <w:right w:val="nil"/>
            </w:tcBorders>
            <w:shd w:val="clear" w:color="auto" w:fill="auto"/>
            <w:noWrap/>
            <w:vAlign w:val="bottom"/>
            <w:hideMark/>
          </w:tcPr>
          <w:p w14:paraId="6D550784"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val="en-US" w:eastAsia="nl-NL" w:bidi="ar-SA"/>
              </w:rPr>
            </w:pPr>
          </w:p>
        </w:tc>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4CC9" w14:textId="77777777" w:rsidR="002C451C" w:rsidRPr="00EE5AB1" w:rsidRDefault="002C451C" w:rsidP="00FD04FB">
            <w:pPr>
              <w:suppressLineNumbers/>
              <w:spacing w:after="0" w:line="240" w:lineRule="auto"/>
              <w:jc w:val="center"/>
              <w:outlineLvl w:val="9"/>
              <w:rPr>
                <w:rFonts w:ascii="Arial" w:hAnsi="Arial" w:cs="Arial"/>
                <w:b/>
                <w:color w:val="000000"/>
                <w:sz w:val="20"/>
                <w:szCs w:val="20"/>
                <w:lang w:eastAsia="nl-NL" w:bidi="ar-SA"/>
              </w:rPr>
            </w:pPr>
            <w:r w:rsidRPr="00EE5AB1">
              <w:rPr>
                <w:rFonts w:ascii="Arial" w:hAnsi="Arial" w:cs="Arial"/>
                <w:b/>
                <w:color w:val="000000"/>
                <w:sz w:val="20"/>
                <w:szCs w:val="20"/>
                <w:lang w:eastAsia="nl-NL" w:bidi="ar-SA"/>
              </w:rPr>
              <w:t>primer set</w:t>
            </w:r>
          </w:p>
        </w:tc>
      </w:tr>
      <w:tr w:rsidR="002C451C" w:rsidRPr="007E5A52" w14:paraId="56F06AE3" w14:textId="77777777" w:rsidTr="00FD04FB">
        <w:trPr>
          <w:trHeight w:val="345"/>
        </w:trPr>
        <w:tc>
          <w:tcPr>
            <w:tcW w:w="976" w:type="dxa"/>
            <w:tcBorders>
              <w:top w:val="nil"/>
              <w:left w:val="nil"/>
              <w:bottom w:val="nil"/>
              <w:right w:val="nil"/>
            </w:tcBorders>
            <w:shd w:val="clear" w:color="auto" w:fill="auto"/>
            <w:noWrap/>
            <w:vAlign w:val="bottom"/>
            <w:hideMark/>
          </w:tcPr>
          <w:p w14:paraId="2BF4F664"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p>
        </w:tc>
        <w:tc>
          <w:tcPr>
            <w:tcW w:w="2270" w:type="dxa"/>
            <w:tcBorders>
              <w:top w:val="nil"/>
              <w:left w:val="nil"/>
              <w:bottom w:val="nil"/>
              <w:right w:val="nil"/>
            </w:tcBorders>
            <w:shd w:val="clear" w:color="auto" w:fill="auto"/>
            <w:noWrap/>
            <w:vAlign w:val="bottom"/>
            <w:hideMark/>
          </w:tcPr>
          <w:p w14:paraId="6F9D2DCC"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p>
        </w:tc>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7BF2D248"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1</w:t>
            </w:r>
            <w:r w:rsidRPr="00EE5AB1">
              <w:rPr>
                <w:rFonts w:ascii="Arial" w:hAnsi="Arial" w:cs="Arial"/>
                <w:bCs w:val="0"/>
                <w:color w:val="000000"/>
                <w:sz w:val="20"/>
                <w:szCs w:val="20"/>
                <w:vertAlign w:val="superscript"/>
                <w:lang w:eastAsia="nl-NL" w:bidi="ar-SA"/>
              </w:rPr>
              <w:t>‡</w:t>
            </w:r>
          </w:p>
        </w:tc>
        <w:tc>
          <w:tcPr>
            <w:tcW w:w="1017" w:type="dxa"/>
            <w:tcBorders>
              <w:top w:val="nil"/>
              <w:left w:val="nil"/>
              <w:bottom w:val="single" w:sz="4" w:space="0" w:color="auto"/>
              <w:right w:val="single" w:sz="4" w:space="0" w:color="auto"/>
            </w:tcBorders>
            <w:shd w:val="clear" w:color="auto" w:fill="auto"/>
            <w:noWrap/>
            <w:vAlign w:val="bottom"/>
            <w:hideMark/>
          </w:tcPr>
          <w:p w14:paraId="2D7A1901"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2</w:t>
            </w:r>
          </w:p>
        </w:tc>
        <w:tc>
          <w:tcPr>
            <w:tcW w:w="976" w:type="dxa"/>
            <w:tcBorders>
              <w:top w:val="nil"/>
              <w:left w:val="nil"/>
              <w:bottom w:val="single" w:sz="4" w:space="0" w:color="auto"/>
              <w:right w:val="single" w:sz="4" w:space="0" w:color="auto"/>
            </w:tcBorders>
            <w:shd w:val="clear" w:color="auto" w:fill="auto"/>
            <w:noWrap/>
            <w:vAlign w:val="bottom"/>
            <w:hideMark/>
          </w:tcPr>
          <w:p w14:paraId="401E1727"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3</w:t>
            </w:r>
          </w:p>
        </w:tc>
        <w:tc>
          <w:tcPr>
            <w:tcW w:w="976" w:type="dxa"/>
            <w:tcBorders>
              <w:top w:val="nil"/>
              <w:left w:val="nil"/>
              <w:bottom w:val="single" w:sz="4" w:space="0" w:color="auto"/>
              <w:right w:val="single" w:sz="4" w:space="0" w:color="auto"/>
            </w:tcBorders>
            <w:shd w:val="clear" w:color="auto" w:fill="auto"/>
            <w:noWrap/>
            <w:vAlign w:val="bottom"/>
            <w:hideMark/>
          </w:tcPr>
          <w:p w14:paraId="5D6AFA33"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4</w:t>
            </w:r>
          </w:p>
        </w:tc>
        <w:tc>
          <w:tcPr>
            <w:tcW w:w="976" w:type="dxa"/>
            <w:tcBorders>
              <w:top w:val="nil"/>
              <w:left w:val="nil"/>
              <w:bottom w:val="single" w:sz="4" w:space="0" w:color="auto"/>
              <w:right w:val="single" w:sz="4" w:space="0" w:color="auto"/>
            </w:tcBorders>
            <w:shd w:val="clear" w:color="auto" w:fill="auto"/>
            <w:noWrap/>
            <w:vAlign w:val="bottom"/>
            <w:hideMark/>
          </w:tcPr>
          <w:p w14:paraId="6C0D57DB"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5*</w:t>
            </w:r>
          </w:p>
        </w:tc>
      </w:tr>
      <w:tr w:rsidR="002C451C" w:rsidRPr="007E5A52" w14:paraId="07220601" w14:textId="77777777" w:rsidTr="00FD04FB">
        <w:trPr>
          <w:trHeight w:val="300"/>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04169E5" w14:textId="77777777" w:rsidR="002C451C" w:rsidRPr="00EE5AB1" w:rsidRDefault="002C451C" w:rsidP="00FD04FB">
            <w:pPr>
              <w:suppressLineNumbers/>
              <w:spacing w:after="0" w:line="240" w:lineRule="auto"/>
              <w:jc w:val="center"/>
              <w:outlineLvl w:val="9"/>
              <w:rPr>
                <w:rFonts w:ascii="Arial" w:hAnsi="Arial" w:cs="Arial"/>
                <w:b/>
                <w:color w:val="000000"/>
                <w:sz w:val="20"/>
                <w:szCs w:val="20"/>
                <w:lang w:eastAsia="nl-NL" w:bidi="ar-SA"/>
              </w:rPr>
            </w:pPr>
            <w:proofErr w:type="spellStart"/>
            <w:r w:rsidRPr="00EE5AB1">
              <w:rPr>
                <w:rFonts w:ascii="Arial" w:hAnsi="Arial" w:cs="Arial"/>
                <w:b/>
                <w:color w:val="000000"/>
                <w:sz w:val="20"/>
                <w:szCs w:val="20"/>
                <w:lang w:eastAsia="nl-NL" w:bidi="ar-SA"/>
              </w:rPr>
              <w:t>phylum</w:t>
            </w:r>
            <w:proofErr w:type="spellEnd"/>
            <w:r w:rsidRPr="00EE5AB1">
              <w:rPr>
                <w:rFonts w:ascii="Arial" w:hAnsi="Arial" w:cs="Arial"/>
                <w:b/>
                <w:color w:val="000000"/>
                <w:sz w:val="20"/>
                <w:szCs w:val="20"/>
                <w:lang w:eastAsia="nl-NL" w:bidi="ar-SA"/>
              </w:rPr>
              <w:t>/class</w:t>
            </w:r>
          </w:p>
        </w:tc>
        <w:tc>
          <w:tcPr>
            <w:tcW w:w="2270" w:type="dxa"/>
            <w:tcBorders>
              <w:top w:val="single" w:sz="4" w:space="0" w:color="auto"/>
              <w:left w:val="nil"/>
              <w:bottom w:val="single" w:sz="4" w:space="0" w:color="auto"/>
              <w:right w:val="single" w:sz="4" w:space="0" w:color="auto"/>
            </w:tcBorders>
            <w:shd w:val="clear" w:color="auto" w:fill="auto"/>
            <w:noWrap/>
            <w:vAlign w:val="bottom"/>
            <w:hideMark/>
          </w:tcPr>
          <w:p w14:paraId="48885174" w14:textId="77777777" w:rsidR="002C451C" w:rsidRPr="00E826AD" w:rsidRDefault="002C451C" w:rsidP="00FD04FB">
            <w:pPr>
              <w:suppressLineNumbers/>
              <w:spacing w:after="0" w:line="240" w:lineRule="auto"/>
              <w:jc w:val="left"/>
              <w:outlineLvl w:val="9"/>
              <w:rPr>
                <w:rFonts w:ascii="Arial" w:hAnsi="Arial" w:cs="Arial"/>
                <w:bCs w:val="0"/>
                <w:iCs/>
                <w:color w:val="000000"/>
                <w:sz w:val="20"/>
                <w:szCs w:val="20"/>
                <w:lang w:eastAsia="nl-NL" w:bidi="ar-SA"/>
              </w:rPr>
            </w:pPr>
            <w:proofErr w:type="spellStart"/>
            <w:r w:rsidRPr="00E826AD">
              <w:rPr>
                <w:rFonts w:ascii="Arial" w:hAnsi="Arial" w:cs="Arial"/>
                <w:bCs w:val="0"/>
                <w:iCs/>
                <w:color w:val="000000"/>
                <w:sz w:val="20"/>
                <w:szCs w:val="20"/>
                <w:lang w:eastAsia="nl-NL" w:bidi="ar-SA"/>
              </w:rPr>
              <w:t>Actinobacteria</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30A9B21F"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89,60%</w:t>
            </w:r>
          </w:p>
        </w:tc>
        <w:tc>
          <w:tcPr>
            <w:tcW w:w="1017" w:type="dxa"/>
            <w:tcBorders>
              <w:top w:val="nil"/>
              <w:left w:val="nil"/>
              <w:bottom w:val="single" w:sz="4" w:space="0" w:color="auto"/>
              <w:right w:val="single" w:sz="4" w:space="0" w:color="auto"/>
            </w:tcBorders>
            <w:shd w:val="clear" w:color="auto" w:fill="auto"/>
            <w:noWrap/>
            <w:vAlign w:val="bottom"/>
            <w:hideMark/>
          </w:tcPr>
          <w:p w14:paraId="79232713"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1,30%</w:t>
            </w:r>
          </w:p>
        </w:tc>
        <w:tc>
          <w:tcPr>
            <w:tcW w:w="976" w:type="dxa"/>
            <w:tcBorders>
              <w:top w:val="nil"/>
              <w:left w:val="nil"/>
              <w:bottom w:val="single" w:sz="4" w:space="0" w:color="auto"/>
              <w:right w:val="single" w:sz="4" w:space="0" w:color="auto"/>
            </w:tcBorders>
            <w:shd w:val="clear" w:color="auto" w:fill="auto"/>
            <w:noWrap/>
            <w:vAlign w:val="bottom"/>
            <w:hideMark/>
          </w:tcPr>
          <w:p w14:paraId="549EFF9C" w14:textId="77777777" w:rsidR="002C451C" w:rsidRPr="00EE5AB1" w:rsidRDefault="002C451C" w:rsidP="00FD04FB">
            <w:pPr>
              <w:suppressLineNumbers/>
              <w:spacing w:after="0" w:line="240" w:lineRule="auto"/>
              <w:jc w:val="right"/>
              <w:outlineLvl w:val="9"/>
              <w:rPr>
                <w:rFonts w:ascii="Arial" w:hAnsi="Arial" w:cs="Arial"/>
                <w:b/>
                <w:color w:val="000000"/>
                <w:sz w:val="20"/>
                <w:szCs w:val="20"/>
                <w:lang w:eastAsia="nl-NL" w:bidi="ar-SA"/>
              </w:rPr>
            </w:pPr>
            <w:r w:rsidRPr="00EE5AB1">
              <w:rPr>
                <w:rFonts w:ascii="Arial" w:hAnsi="Arial" w:cs="Arial"/>
                <w:b/>
                <w:color w:val="000000"/>
                <w:sz w:val="20"/>
                <w:szCs w:val="20"/>
                <w:lang w:eastAsia="nl-NL" w:bidi="ar-SA"/>
              </w:rPr>
              <w:t>30,90%</w:t>
            </w:r>
          </w:p>
        </w:tc>
        <w:tc>
          <w:tcPr>
            <w:tcW w:w="976" w:type="dxa"/>
            <w:tcBorders>
              <w:top w:val="nil"/>
              <w:left w:val="nil"/>
              <w:bottom w:val="single" w:sz="4" w:space="0" w:color="auto"/>
              <w:right w:val="single" w:sz="4" w:space="0" w:color="auto"/>
            </w:tcBorders>
            <w:shd w:val="clear" w:color="auto" w:fill="auto"/>
            <w:noWrap/>
            <w:vAlign w:val="bottom"/>
            <w:hideMark/>
          </w:tcPr>
          <w:p w14:paraId="72C0D950"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&lt;0,01%</w:t>
            </w:r>
          </w:p>
        </w:tc>
        <w:tc>
          <w:tcPr>
            <w:tcW w:w="976" w:type="dxa"/>
            <w:tcBorders>
              <w:top w:val="nil"/>
              <w:left w:val="nil"/>
              <w:bottom w:val="single" w:sz="4" w:space="0" w:color="auto"/>
              <w:right w:val="single" w:sz="4" w:space="0" w:color="auto"/>
            </w:tcBorders>
            <w:shd w:val="clear" w:color="auto" w:fill="auto"/>
            <w:noWrap/>
            <w:vAlign w:val="bottom"/>
            <w:hideMark/>
          </w:tcPr>
          <w:p w14:paraId="6B5DC380" w14:textId="77777777" w:rsidR="002C451C" w:rsidRPr="00EE5AB1" w:rsidRDefault="002C451C" w:rsidP="00FD04FB">
            <w:pPr>
              <w:suppressLineNumbers/>
              <w:spacing w:after="0" w:line="240" w:lineRule="auto"/>
              <w:jc w:val="right"/>
              <w:outlineLvl w:val="9"/>
              <w:rPr>
                <w:rFonts w:ascii="Arial" w:hAnsi="Arial" w:cs="Arial"/>
                <w:b/>
                <w:color w:val="FF0000"/>
                <w:sz w:val="20"/>
                <w:szCs w:val="20"/>
                <w:lang w:eastAsia="nl-NL" w:bidi="ar-SA"/>
              </w:rPr>
            </w:pPr>
            <w:r w:rsidRPr="00EE5AB1">
              <w:rPr>
                <w:rFonts w:ascii="Arial" w:hAnsi="Arial" w:cs="Arial"/>
                <w:b/>
                <w:color w:val="FF0000"/>
                <w:sz w:val="20"/>
                <w:szCs w:val="20"/>
                <w:lang w:eastAsia="nl-NL" w:bidi="ar-SA"/>
              </w:rPr>
              <w:t>8,40%</w:t>
            </w:r>
          </w:p>
        </w:tc>
      </w:tr>
      <w:tr w:rsidR="002C451C" w:rsidRPr="007E5A52" w14:paraId="13577EBF" w14:textId="77777777" w:rsidTr="00FD04FB">
        <w:trPr>
          <w:trHeight w:val="300"/>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3F4D1B9F" w14:textId="77777777" w:rsidR="002C451C" w:rsidRPr="00EE5AB1" w:rsidRDefault="002C451C" w:rsidP="00FD04FB">
            <w:pPr>
              <w:suppressLineNumbers/>
              <w:spacing w:after="0" w:line="240" w:lineRule="auto"/>
              <w:jc w:val="left"/>
              <w:outlineLvl w:val="9"/>
              <w:rPr>
                <w:rFonts w:ascii="Arial" w:hAnsi="Arial" w:cs="Arial"/>
                <w:b/>
                <w:color w:val="000000"/>
                <w:sz w:val="20"/>
                <w:szCs w:val="20"/>
                <w:lang w:eastAsia="nl-NL" w:bidi="ar-SA"/>
              </w:rPr>
            </w:pPr>
          </w:p>
        </w:tc>
        <w:tc>
          <w:tcPr>
            <w:tcW w:w="2270" w:type="dxa"/>
            <w:tcBorders>
              <w:top w:val="nil"/>
              <w:left w:val="nil"/>
              <w:bottom w:val="single" w:sz="4" w:space="0" w:color="auto"/>
              <w:right w:val="single" w:sz="4" w:space="0" w:color="auto"/>
            </w:tcBorders>
            <w:shd w:val="clear" w:color="auto" w:fill="auto"/>
            <w:noWrap/>
            <w:vAlign w:val="bottom"/>
            <w:hideMark/>
          </w:tcPr>
          <w:p w14:paraId="0C2972A4" w14:textId="77777777" w:rsidR="002C451C" w:rsidRPr="00E826AD" w:rsidRDefault="002C451C" w:rsidP="00FD04FB">
            <w:pPr>
              <w:suppressLineNumbers/>
              <w:spacing w:after="0" w:line="240" w:lineRule="auto"/>
              <w:jc w:val="left"/>
              <w:outlineLvl w:val="9"/>
              <w:rPr>
                <w:rFonts w:ascii="Arial" w:hAnsi="Arial" w:cs="Arial"/>
                <w:bCs w:val="0"/>
                <w:iCs/>
                <w:color w:val="000000"/>
                <w:sz w:val="20"/>
                <w:szCs w:val="20"/>
                <w:lang w:eastAsia="nl-NL" w:bidi="ar-SA"/>
              </w:rPr>
            </w:pPr>
            <w:proofErr w:type="spellStart"/>
            <w:r w:rsidRPr="00E826AD">
              <w:rPr>
                <w:rFonts w:ascii="Arial" w:hAnsi="Arial" w:cs="Arial"/>
                <w:bCs w:val="0"/>
                <w:iCs/>
                <w:color w:val="000000"/>
                <w:sz w:val="20"/>
                <w:szCs w:val="20"/>
                <w:lang w:eastAsia="nl-NL" w:bidi="ar-SA"/>
              </w:rPr>
              <w:t>Bacteroidetes</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2D1FA2D2"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92,90%</w:t>
            </w:r>
          </w:p>
        </w:tc>
        <w:tc>
          <w:tcPr>
            <w:tcW w:w="1017" w:type="dxa"/>
            <w:tcBorders>
              <w:top w:val="nil"/>
              <w:left w:val="nil"/>
              <w:bottom w:val="single" w:sz="4" w:space="0" w:color="auto"/>
              <w:right w:val="single" w:sz="4" w:space="0" w:color="auto"/>
            </w:tcBorders>
            <w:shd w:val="clear" w:color="auto" w:fill="auto"/>
            <w:noWrap/>
            <w:vAlign w:val="bottom"/>
            <w:hideMark/>
          </w:tcPr>
          <w:p w14:paraId="31B61055"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3,80%</w:t>
            </w:r>
          </w:p>
        </w:tc>
        <w:tc>
          <w:tcPr>
            <w:tcW w:w="976" w:type="dxa"/>
            <w:tcBorders>
              <w:top w:val="nil"/>
              <w:left w:val="nil"/>
              <w:bottom w:val="single" w:sz="4" w:space="0" w:color="auto"/>
              <w:right w:val="single" w:sz="4" w:space="0" w:color="auto"/>
            </w:tcBorders>
            <w:shd w:val="clear" w:color="auto" w:fill="auto"/>
            <w:noWrap/>
            <w:vAlign w:val="bottom"/>
            <w:hideMark/>
          </w:tcPr>
          <w:p w14:paraId="309D4FA4"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0,16%</w:t>
            </w:r>
          </w:p>
        </w:tc>
        <w:tc>
          <w:tcPr>
            <w:tcW w:w="976" w:type="dxa"/>
            <w:tcBorders>
              <w:top w:val="nil"/>
              <w:left w:val="nil"/>
              <w:bottom w:val="single" w:sz="4" w:space="0" w:color="auto"/>
              <w:right w:val="single" w:sz="4" w:space="0" w:color="auto"/>
            </w:tcBorders>
            <w:shd w:val="clear" w:color="auto" w:fill="auto"/>
            <w:noWrap/>
            <w:vAlign w:val="bottom"/>
            <w:hideMark/>
          </w:tcPr>
          <w:p w14:paraId="1E051A5A" w14:textId="77777777" w:rsidR="002C451C" w:rsidRPr="00EE5AB1" w:rsidRDefault="002C451C" w:rsidP="00FD04FB">
            <w:pPr>
              <w:suppressLineNumbers/>
              <w:spacing w:after="0" w:line="240" w:lineRule="auto"/>
              <w:jc w:val="right"/>
              <w:outlineLvl w:val="9"/>
              <w:rPr>
                <w:rFonts w:ascii="Arial" w:hAnsi="Arial" w:cs="Arial"/>
                <w:b/>
                <w:color w:val="FF0000"/>
                <w:sz w:val="20"/>
                <w:szCs w:val="20"/>
                <w:lang w:eastAsia="nl-NL" w:bidi="ar-SA"/>
              </w:rPr>
            </w:pPr>
            <w:r w:rsidRPr="00EE5AB1">
              <w:rPr>
                <w:rFonts w:ascii="Arial" w:hAnsi="Arial" w:cs="Arial"/>
                <w:b/>
                <w:color w:val="FF0000"/>
                <w:sz w:val="20"/>
                <w:szCs w:val="20"/>
                <w:lang w:eastAsia="nl-NL" w:bidi="ar-SA"/>
              </w:rPr>
              <w:t>48,00%</w:t>
            </w:r>
          </w:p>
        </w:tc>
        <w:tc>
          <w:tcPr>
            <w:tcW w:w="976" w:type="dxa"/>
            <w:tcBorders>
              <w:top w:val="nil"/>
              <w:left w:val="nil"/>
              <w:bottom w:val="single" w:sz="4" w:space="0" w:color="auto"/>
              <w:right w:val="single" w:sz="4" w:space="0" w:color="auto"/>
            </w:tcBorders>
            <w:shd w:val="clear" w:color="auto" w:fill="auto"/>
            <w:noWrap/>
            <w:vAlign w:val="bottom"/>
            <w:hideMark/>
          </w:tcPr>
          <w:p w14:paraId="44D0A505"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0,16%</w:t>
            </w:r>
          </w:p>
        </w:tc>
      </w:tr>
      <w:tr w:rsidR="002C451C" w:rsidRPr="007E5A52" w14:paraId="4E1547FD" w14:textId="77777777" w:rsidTr="00FD04FB">
        <w:trPr>
          <w:trHeight w:val="300"/>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EA61545" w14:textId="77777777" w:rsidR="002C451C" w:rsidRPr="00EE5AB1" w:rsidRDefault="002C451C" w:rsidP="00FD04FB">
            <w:pPr>
              <w:suppressLineNumbers/>
              <w:spacing w:after="0" w:line="240" w:lineRule="auto"/>
              <w:jc w:val="left"/>
              <w:outlineLvl w:val="9"/>
              <w:rPr>
                <w:rFonts w:ascii="Arial" w:hAnsi="Arial" w:cs="Arial"/>
                <w:b/>
                <w:color w:val="000000"/>
                <w:sz w:val="20"/>
                <w:szCs w:val="20"/>
                <w:lang w:eastAsia="nl-NL" w:bidi="ar-SA"/>
              </w:rPr>
            </w:pPr>
          </w:p>
        </w:tc>
        <w:tc>
          <w:tcPr>
            <w:tcW w:w="2270" w:type="dxa"/>
            <w:tcBorders>
              <w:top w:val="nil"/>
              <w:left w:val="nil"/>
              <w:bottom w:val="single" w:sz="4" w:space="0" w:color="auto"/>
              <w:right w:val="single" w:sz="4" w:space="0" w:color="auto"/>
            </w:tcBorders>
            <w:shd w:val="clear" w:color="auto" w:fill="auto"/>
            <w:noWrap/>
            <w:vAlign w:val="bottom"/>
            <w:hideMark/>
          </w:tcPr>
          <w:p w14:paraId="648AAE2A" w14:textId="77777777" w:rsidR="002C451C" w:rsidRPr="00E826AD" w:rsidRDefault="002C451C" w:rsidP="00FD04FB">
            <w:pPr>
              <w:suppressLineNumbers/>
              <w:spacing w:after="0" w:line="240" w:lineRule="auto"/>
              <w:jc w:val="left"/>
              <w:outlineLvl w:val="9"/>
              <w:rPr>
                <w:rFonts w:ascii="Arial" w:hAnsi="Arial" w:cs="Arial"/>
                <w:bCs w:val="0"/>
                <w:iCs/>
                <w:color w:val="000000"/>
                <w:sz w:val="20"/>
                <w:szCs w:val="20"/>
                <w:lang w:eastAsia="nl-NL" w:bidi="ar-SA"/>
              </w:rPr>
            </w:pPr>
            <w:proofErr w:type="spellStart"/>
            <w:r w:rsidRPr="00E826AD">
              <w:rPr>
                <w:rFonts w:ascii="Arial" w:hAnsi="Arial" w:cs="Arial"/>
                <w:bCs w:val="0"/>
                <w:iCs/>
                <w:color w:val="000000"/>
                <w:sz w:val="20"/>
                <w:szCs w:val="20"/>
                <w:lang w:eastAsia="nl-NL" w:bidi="ar-SA"/>
              </w:rPr>
              <w:t>Firmicutes</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374860A4"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93,30%</w:t>
            </w:r>
          </w:p>
        </w:tc>
        <w:tc>
          <w:tcPr>
            <w:tcW w:w="1017" w:type="dxa"/>
            <w:tcBorders>
              <w:top w:val="nil"/>
              <w:left w:val="nil"/>
              <w:bottom w:val="single" w:sz="4" w:space="0" w:color="auto"/>
              <w:right w:val="single" w:sz="4" w:space="0" w:color="auto"/>
            </w:tcBorders>
            <w:shd w:val="clear" w:color="auto" w:fill="auto"/>
            <w:noWrap/>
            <w:vAlign w:val="bottom"/>
            <w:hideMark/>
          </w:tcPr>
          <w:p w14:paraId="6EB0562E"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1,30%</w:t>
            </w:r>
          </w:p>
        </w:tc>
        <w:tc>
          <w:tcPr>
            <w:tcW w:w="976" w:type="dxa"/>
            <w:tcBorders>
              <w:top w:val="nil"/>
              <w:left w:val="nil"/>
              <w:bottom w:val="single" w:sz="4" w:space="0" w:color="auto"/>
              <w:right w:val="single" w:sz="4" w:space="0" w:color="auto"/>
            </w:tcBorders>
            <w:shd w:val="clear" w:color="auto" w:fill="auto"/>
            <w:noWrap/>
            <w:vAlign w:val="bottom"/>
            <w:hideMark/>
          </w:tcPr>
          <w:p w14:paraId="7DE72469" w14:textId="77777777" w:rsidR="002C451C" w:rsidRPr="00EE5AB1" w:rsidRDefault="002C451C" w:rsidP="00FD04FB">
            <w:pPr>
              <w:suppressLineNumbers/>
              <w:spacing w:after="0" w:line="240" w:lineRule="auto"/>
              <w:jc w:val="right"/>
              <w:outlineLvl w:val="9"/>
              <w:rPr>
                <w:rFonts w:ascii="Arial" w:hAnsi="Arial" w:cs="Arial"/>
                <w:b/>
                <w:color w:val="FF0000"/>
                <w:sz w:val="20"/>
                <w:szCs w:val="20"/>
                <w:lang w:eastAsia="nl-NL" w:bidi="ar-SA"/>
              </w:rPr>
            </w:pPr>
            <w:r w:rsidRPr="00EE5AB1">
              <w:rPr>
                <w:rFonts w:ascii="Arial" w:hAnsi="Arial" w:cs="Arial"/>
                <w:b/>
                <w:color w:val="FF0000"/>
                <w:sz w:val="20"/>
                <w:szCs w:val="20"/>
                <w:lang w:eastAsia="nl-NL" w:bidi="ar-SA"/>
              </w:rPr>
              <w:t>65,90%</w:t>
            </w:r>
          </w:p>
        </w:tc>
        <w:tc>
          <w:tcPr>
            <w:tcW w:w="976" w:type="dxa"/>
            <w:tcBorders>
              <w:top w:val="nil"/>
              <w:left w:val="nil"/>
              <w:bottom w:val="single" w:sz="4" w:space="0" w:color="auto"/>
              <w:right w:val="single" w:sz="4" w:space="0" w:color="auto"/>
            </w:tcBorders>
            <w:shd w:val="clear" w:color="auto" w:fill="auto"/>
            <w:noWrap/>
            <w:vAlign w:val="bottom"/>
            <w:hideMark/>
          </w:tcPr>
          <w:p w14:paraId="276CBA2B"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&lt;0,01%</w:t>
            </w:r>
          </w:p>
        </w:tc>
        <w:tc>
          <w:tcPr>
            <w:tcW w:w="976" w:type="dxa"/>
            <w:tcBorders>
              <w:top w:val="nil"/>
              <w:left w:val="nil"/>
              <w:bottom w:val="single" w:sz="4" w:space="0" w:color="auto"/>
              <w:right w:val="single" w:sz="4" w:space="0" w:color="auto"/>
            </w:tcBorders>
            <w:shd w:val="clear" w:color="auto" w:fill="auto"/>
            <w:noWrap/>
            <w:vAlign w:val="bottom"/>
            <w:hideMark/>
          </w:tcPr>
          <w:p w14:paraId="112EDE5D"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0,83%</w:t>
            </w:r>
          </w:p>
        </w:tc>
      </w:tr>
      <w:tr w:rsidR="002C451C" w:rsidRPr="007E5A52" w14:paraId="6EFA0C05" w14:textId="77777777" w:rsidTr="00FD04FB">
        <w:trPr>
          <w:trHeight w:val="300"/>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1778336" w14:textId="77777777" w:rsidR="002C451C" w:rsidRPr="00EE5AB1" w:rsidRDefault="002C451C" w:rsidP="00FD04FB">
            <w:pPr>
              <w:suppressLineNumbers/>
              <w:spacing w:after="0" w:line="240" w:lineRule="auto"/>
              <w:jc w:val="left"/>
              <w:outlineLvl w:val="9"/>
              <w:rPr>
                <w:rFonts w:ascii="Arial" w:hAnsi="Arial" w:cs="Arial"/>
                <w:b/>
                <w:color w:val="000000"/>
                <w:sz w:val="20"/>
                <w:szCs w:val="20"/>
                <w:lang w:eastAsia="nl-NL" w:bidi="ar-SA"/>
              </w:rPr>
            </w:pPr>
          </w:p>
        </w:tc>
        <w:tc>
          <w:tcPr>
            <w:tcW w:w="2270" w:type="dxa"/>
            <w:tcBorders>
              <w:top w:val="nil"/>
              <w:left w:val="nil"/>
              <w:bottom w:val="single" w:sz="4" w:space="0" w:color="auto"/>
              <w:right w:val="single" w:sz="4" w:space="0" w:color="auto"/>
            </w:tcBorders>
            <w:shd w:val="clear" w:color="auto" w:fill="auto"/>
            <w:noWrap/>
            <w:vAlign w:val="bottom"/>
            <w:hideMark/>
          </w:tcPr>
          <w:p w14:paraId="00F18158" w14:textId="77777777" w:rsidR="002C451C" w:rsidRPr="00E826AD" w:rsidRDefault="002C451C" w:rsidP="00FD04FB">
            <w:pPr>
              <w:suppressLineNumbers/>
              <w:spacing w:after="0" w:line="240" w:lineRule="auto"/>
              <w:jc w:val="left"/>
              <w:outlineLvl w:val="9"/>
              <w:rPr>
                <w:rFonts w:ascii="Arial" w:hAnsi="Arial" w:cs="Arial"/>
                <w:bCs w:val="0"/>
                <w:iCs/>
                <w:color w:val="000000"/>
                <w:sz w:val="20"/>
                <w:szCs w:val="20"/>
                <w:lang w:eastAsia="nl-NL" w:bidi="ar-SA"/>
              </w:rPr>
            </w:pPr>
            <w:proofErr w:type="spellStart"/>
            <w:r>
              <w:rPr>
                <w:rFonts w:ascii="Arial" w:hAnsi="Arial" w:cs="Arial"/>
                <w:bCs w:val="0"/>
                <w:iCs/>
                <w:color w:val="000000"/>
                <w:sz w:val="20"/>
                <w:szCs w:val="20"/>
                <w:lang w:eastAsia="nl-NL" w:bidi="ar-SA"/>
              </w:rPr>
              <w:t>Gammap</w:t>
            </w:r>
            <w:r w:rsidRPr="00E826AD">
              <w:rPr>
                <w:rFonts w:ascii="Arial" w:hAnsi="Arial" w:cs="Arial"/>
                <w:bCs w:val="0"/>
                <w:iCs/>
                <w:color w:val="000000"/>
                <w:sz w:val="20"/>
                <w:szCs w:val="20"/>
                <w:lang w:eastAsia="nl-NL" w:bidi="ar-SA"/>
              </w:rPr>
              <w:t>roteobacteria</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4BFBAE76"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54%</w:t>
            </w:r>
          </w:p>
        </w:tc>
        <w:tc>
          <w:tcPr>
            <w:tcW w:w="1017" w:type="dxa"/>
            <w:tcBorders>
              <w:top w:val="nil"/>
              <w:left w:val="nil"/>
              <w:bottom w:val="single" w:sz="4" w:space="0" w:color="auto"/>
              <w:right w:val="single" w:sz="4" w:space="0" w:color="auto"/>
            </w:tcBorders>
            <w:shd w:val="clear" w:color="auto" w:fill="auto"/>
            <w:noWrap/>
            <w:vAlign w:val="bottom"/>
            <w:hideMark/>
          </w:tcPr>
          <w:p w14:paraId="1160C621" w14:textId="77777777" w:rsidR="002C451C" w:rsidRPr="00EE5AB1" w:rsidRDefault="002C451C" w:rsidP="00FD04FB">
            <w:pPr>
              <w:suppressLineNumbers/>
              <w:spacing w:after="0" w:line="240" w:lineRule="auto"/>
              <w:jc w:val="right"/>
              <w:outlineLvl w:val="9"/>
              <w:rPr>
                <w:rFonts w:ascii="Arial" w:hAnsi="Arial" w:cs="Arial"/>
                <w:b/>
                <w:color w:val="FF0000"/>
                <w:sz w:val="20"/>
                <w:szCs w:val="20"/>
                <w:lang w:eastAsia="nl-NL" w:bidi="ar-SA"/>
              </w:rPr>
            </w:pPr>
            <w:r w:rsidRPr="00EE5AB1">
              <w:rPr>
                <w:rFonts w:ascii="Arial" w:hAnsi="Arial" w:cs="Arial"/>
                <w:b/>
                <w:color w:val="FF0000"/>
                <w:sz w:val="20"/>
                <w:szCs w:val="20"/>
                <w:lang w:eastAsia="nl-NL" w:bidi="ar-SA"/>
              </w:rPr>
              <w:t>54,80%</w:t>
            </w:r>
          </w:p>
        </w:tc>
        <w:tc>
          <w:tcPr>
            <w:tcW w:w="976" w:type="dxa"/>
            <w:tcBorders>
              <w:top w:val="nil"/>
              <w:left w:val="nil"/>
              <w:bottom w:val="single" w:sz="4" w:space="0" w:color="auto"/>
              <w:right w:val="single" w:sz="4" w:space="0" w:color="auto"/>
            </w:tcBorders>
            <w:shd w:val="clear" w:color="auto" w:fill="auto"/>
            <w:noWrap/>
            <w:vAlign w:val="bottom"/>
            <w:hideMark/>
          </w:tcPr>
          <w:p w14:paraId="489D9616"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0,05%</w:t>
            </w:r>
          </w:p>
        </w:tc>
        <w:tc>
          <w:tcPr>
            <w:tcW w:w="976" w:type="dxa"/>
            <w:tcBorders>
              <w:top w:val="nil"/>
              <w:left w:val="nil"/>
              <w:bottom w:val="single" w:sz="4" w:space="0" w:color="auto"/>
              <w:right w:val="single" w:sz="4" w:space="0" w:color="auto"/>
            </w:tcBorders>
            <w:shd w:val="clear" w:color="auto" w:fill="auto"/>
            <w:noWrap/>
            <w:vAlign w:val="bottom"/>
            <w:hideMark/>
          </w:tcPr>
          <w:p w14:paraId="6093A960"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&lt;0,01%</w:t>
            </w:r>
          </w:p>
        </w:tc>
        <w:tc>
          <w:tcPr>
            <w:tcW w:w="976" w:type="dxa"/>
            <w:tcBorders>
              <w:top w:val="nil"/>
              <w:left w:val="nil"/>
              <w:bottom w:val="single" w:sz="4" w:space="0" w:color="auto"/>
              <w:right w:val="single" w:sz="4" w:space="0" w:color="auto"/>
            </w:tcBorders>
            <w:shd w:val="clear" w:color="auto" w:fill="auto"/>
            <w:noWrap/>
            <w:vAlign w:val="bottom"/>
            <w:hideMark/>
          </w:tcPr>
          <w:p w14:paraId="1BD5AA7C"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0,05%</w:t>
            </w:r>
          </w:p>
        </w:tc>
      </w:tr>
      <w:tr w:rsidR="002C451C" w:rsidRPr="007E5A52" w14:paraId="722DE6F6" w14:textId="77777777" w:rsidTr="00FD04FB">
        <w:trPr>
          <w:trHeight w:val="300"/>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09AC05C5" w14:textId="77777777" w:rsidR="002C451C" w:rsidRPr="00EE5AB1" w:rsidRDefault="002C451C" w:rsidP="00FD04FB">
            <w:pPr>
              <w:suppressLineNumbers/>
              <w:spacing w:after="0" w:line="240" w:lineRule="auto"/>
              <w:jc w:val="left"/>
              <w:outlineLvl w:val="9"/>
              <w:rPr>
                <w:rFonts w:ascii="Arial" w:hAnsi="Arial" w:cs="Arial"/>
                <w:b/>
                <w:color w:val="000000"/>
                <w:sz w:val="20"/>
                <w:szCs w:val="20"/>
                <w:lang w:eastAsia="nl-NL" w:bidi="ar-SA"/>
              </w:rPr>
            </w:pPr>
          </w:p>
        </w:tc>
        <w:tc>
          <w:tcPr>
            <w:tcW w:w="2270" w:type="dxa"/>
            <w:tcBorders>
              <w:top w:val="nil"/>
              <w:left w:val="nil"/>
              <w:bottom w:val="single" w:sz="4" w:space="0" w:color="auto"/>
              <w:right w:val="single" w:sz="4" w:space="0" w:color="auto"/>
            </w:tcBorders>
            <w:shd w:val="clear" w:color="auto" w:fill="auto"/>
            <w:noWrap/>
            <w:vAlign w:val="bottom"/>
            <w:hideMark/>
          </w:tcPr>
          <w:p w14:paraId="2766040D" w14:textId="77777777" w:rsidR="002C451C" w:rsidRPr="00E826AD" w:rsidRDefault="002C451C" w:rsidP="00FD04FB">
            <w:pPr>
              <w:suppressLineNumbers/>
              <w:spacing w:after="0" w:line="240" w:lineRule="auto"/>
              <w:jc w:val="left"/>
              <w:outlineLvl w:val="9"/>
              <w:rPr>
                <w:rFonts w:ascii="Arial" w:hAnsi="Arial" w:cs="Arial"/>
                <w:bCs w:val="0"/>
                <w:iCs/>
                <w:color w:val="000000"/>
                <w:sz w:val="20"/>
                <w:szCs w:val="20"/>
                <w:lang w:eastAsia="nl-NL" w:bidi="ar-SA"/>
              </w:rPr>
            </w:pPr>
            <w:proofErr w:type="spellStart"/>
            <w:r w:rsidRPr="00E826AD">
              <w:rPr>
                <w:rFonts w:ascii="Arial" w:hAnsi="Arial" w:cs="Arial"/>
                <w:bCs w:val="0"/>
                <w:iCs/>
                <w:color w:val="000000"/>
                <w:sz w:val="20"/>
                <w:szCs w:val="20"/>
                <w:lang w:eastAsia="nl-NL" w:bidi="ar-SA"/>
              </w:rPr>
              <w:t>Verrucomicrobia</w:t>
            </w:r>
            <w:proofErr w:type="spellEnd"/>
          </w:p>
        </w:tc>
        <w:tc>
          <w:tcPr>
            <w:tcW w:w="1009" w:type="dxa"/>
            <w:tcBorders>
              <w:top w:val="nil"/>
              <w:left w:val="nil"/>
              <w:bottom w:val="single" w:sz="4" w:space="0" w:color="auto"/>
              <w:right w:val="single" w:sz="4" w:space="0" w:color="auto"/>
            </w:tcBorders>
            <w:shd w:val="clear" w:color="auto" w:fill="auto"/>
            <w:noWrap/>
            <w:vAlign w:val="bottom"/>
            <w:hideMark/>
          </w:tcPr>
          <w:p w14:paraId="0FB62404"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20,60%</w:t>
            </w:r>
          </w:p>
        </w:tc>
        <w:tc>
          <w:tcPr>
            <w:tcW w:w="1017" w:type="dxa"/>
            <w:tcBorders>
              <w:top w:val="nil"/>
              <w:left w:val="nil"/>
              <w:bottom w:val="single" w:sz="4" w:space="0" w:color="auto"/>
              <w:right w:val="single" w:sz="4" w:space="0" w:color="auto"/>
            </w:tcBorders>
            <w:shd w:val="clear" w:color="auto" w:fill="auto"/>
            <w:noWrap/>
            <w:vAlign w:val="bottom"/>
            <w:hideMark/>
          </w:tcPr>
          <w:p w14:paraId="59907742"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0,07%</w:t>
            </w:r>
          </w:p>
        </w:tc>
        <w:tc>
          <w:tcPr>
            <w:tcW w:w="976" w:type="dxa"/>
            <w:tcBorders>
              <w:top w:val="nil"/>
              <w:left w:val="nil"/>
              <w:bottom w:val="single" w:sz="4" w:space="0" w:color="auto"/>
              <w:right w:val="single" w:sz="4" w:space="0" w:color="auto"/>
            </w:tcBorders>
            <w:shd w:val="clear" w:color="auto" w:fill="auto"/>
            <w:noWrap/>
            <w:vAlign w:val="bottom"/>
            <w:hideMark/>
          </w:tcPr>
          <w:p w14:paraId="163BF599" w14:textId="77777777" w:rsidR="002C451C" w:rsidRPr="00EE5AB1" w:rsidRDefault="002C451C" w:rsidP="00FD04FB">
            <w:pPr>
              <w:suppressLineNumbers/>
              <w:spacing w:after="0" w:line="240" w:lineRule="auto"/>
              <w:jc w:val="righ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0,11%</w:t>
            </w:r>
          </w:p>
        </w:tc>
        <w:tc>
          <w:tcPr>
            <w:tcW w:w="976" w:type="dxa"/>
            <w:tcBorders>
              <w:top w:val="nil"/>
              <w:left w:val="nil"/>
              <w:bottom w:val="single" w:sz="4" w:space="0" w:color="auto"/>
              <w:right w:val="single" w:sz="4" w:space="0" w:color="auto"/>
            </w:tcBorders>
            <w:shd w:val="clear" w:color="auto" w:fill="auto"/>
            <w:noWrap/>
            <w:vAlign w:val="bottom"/>
            <w:hideMark/>
          </w:tcPr>
          <w:p w14:paraId="1549A129"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&lt;0,01%</w:t>
            </w:r>
          </w:p>
        </w:tc>
        <w:tc>
          <w:tcPr>
            <w:tcW w:w="976" w:type="dxa"/>
            <w:tcBorders>
              <w:top w:val="nil"/>
              <w:left w:val="nil"/>
              <w:bottom w:val="single" w:sz="4" w:space="0" w:color="auto"/>
              <w:right w:val="single" w:sz="4" w:space="0" w:color="auto"/>
            </w:tcBorders>
            <w:shd w:val="clear" w:color="auto" w:fill="auto"/>
            <w:noWrap/>
            <w:vAlign w:val="bottom"/>
            <w:hideMark/>
          </w:tcPr>
          <w:p w14:paraId="44B86CAC" w14:textId="77777777" w:rsidR="002C451C" w:rsidRPr="00EE5AB1" w:rsidRDefault="002C451C" w:rsidP="00FD04FB">
            <w:pPr>
              <w:suppressLineNumbers/>
              <w:spacing w:after="0" w:line="240" w:lineRule="auto"/>
              <w:jc w:val="left"/>
              <w:outlineLvl w:val="9"/>
              <w:rPr>
                <w:rFonts w:ascii="Arial" w:hAnsi="Arial" w:cs="Arial"/>
                <w:bCs w:val="0"/>
                <w:color w:val="000000"/>
                <w:sz w:val="20"/>
                <w:szCs w:val="20"/>
                <w:lang w:eastAsia="nl-NL" w:bidi="ar-SA"/>
              </w:rPr>
            </w:pPr>
            <w:r w:rsidRPr="00EE5AB1">
              <w:rPr>
                <w:rFonts w:ascii="Arial" w:hAnsi="Arial" w:cs="Arial"/>
                <w:bCs w:val="0"/>
                <w:color w:val="000000"/>
                <w:sz w:val="20"/>
                <w:szCs w:val="20"/>
                <w:lang w:eastAsia="nl-NL" w:bidi="ar-SA"/>
              </w:rPr>
              <w:t>&lt;0,01%</w:t>
            </w:r>
          </w:p>
        </w:tc>
      </w:tr>
    </w:tbl>
    <w:p w14:paraId="66025B75" w14:textId="77777777" w:rsidR="002C451C" w:rsidRDefault="002C451C" w:rsidP="002C451C">
      <w:pPr>
        <w:suppressLineNumbers/>
        <w:spacing w:after="0" w:line="240" w:lineRule="auto"/>
        <w:jc w:val="left"/>
        <w:outlineLvl w:val="9"/>
        <w:rPr>
          <w:b/>
          <w:lang w:val="en-US"/>
        </w:rPr>
      </w:pPr>
    </w:p>
    <w:p w14:paraId="037B8D85" w14:textId="77777777" w:rsidR="002C451C" w:rsidRDefault="002C451C" w:rsidP="002C451C">
      <w:pPr>
        <w:suppressLineNumbers/>
        <w:spacing w:after="0" w:line="240" w:lineRule="auto"/>
        <w:jc w:val="left"/>
        <w:outlineLvl w:val="9"/>
        <w:rPr>
          <w:rFonts w:asciiTheme="majorHAnsi" w:hAnsiTheme="majorHAnsi"/>
          <w:bCs w:val="0"/>
          <w:color w:val="000000"/>
          <w:lang w:val="en-US" w:eastAsia="nl-NL" w:bidi="ar-SA"/>
        </w:rPr>
      </w:pPr>
      <w:r w:rsidRPr="00022EA4">
        <w:rPr>
          <w:rFonts w:asciiTheme="majorHAnsi" w:hAnsiTheme="majorHAnsi"/>
          <w:bCs w:val="0"/>
          <w:color w:val="000000"/>
          <w:lang w:val="en-US" w:eastAsia="nl-NL" w:bidi="ar-SA"/>
        </w:rPr>
        <w:t xml:space="preserve">* </w:t>
      </w:r>
      <w:proofErr w:type="gramStart"/>
      <w:r w:rsidRPr="00022EA4">
        <w:rPr>
          <w:rFonts w:asciiTheme="majorHAnsi" w:hAnsiTheme="majorHAnsi"/>
          <w:bCs w:val="0"/>
          <w:color w:val="000000"/>
          <w:lang w:val="en-US" w:eastAsia="nl-NL" w:bidi="ar-SA"/>
        </w:rPr>
        <w:t>detects</w:t>
      </w:r>
      <w:proofErr w:type="gramEnd"/>
      <w:r w:rsidRPr="00022EA4">
        <w:rPr>
          <w:rFonts w:asciiTheme="majorHAnsi" w:hAnsiTheme="majorHAnsi"/>
          <w:bCs w:val="0"/>
          <w:color w:val="000000"/>
          <w:lang w:val="en-US" w:eastAsia="nl-NL" w:bidi="ar-SA"/>
        </w:rPr>
        <w:t xml:space="preserve"> mainly</w:t>
      </w:r>
      <w:r w:rsidRPr="00022EA4">
        <w:rPr>
          <w:rFonts w:asciiTheme="majorHAnsi" w:hAnsiTheme="majorHAnsi"/>
          <w:bCs w:val="0"/>
          <w:i/>
          <w:iCs/>
          <w:color w:val="000000"/>
          <w:lang w:val="en-US" w:eastAsia="nl-NL" w:bidi="ar-SA"/>
        </w:rPr>
        <w:t xml:space="preserve"> </w:t>
      </w:r>
      <w:proofErr w:type="spellStart"/>
      <w:r w:rsidRPr="00022EA4">
        <w:rPr>
          <w:rFonts w:asciiTheme="majorHAnsi" w:hAnsiTheme="majorHAnsi"/>
          <w:bCs w:val="0"/>
          <w:i/>
          <w:iCs/>
          <w:color w:val="000000"/>
          <w:lang w:val="en-US" w:eastAsia="nl-NL" w:bidi="ar-SA"/>
        </w:rPr>
        <w:t>Streptomycinae</w:t>
      </w:r>
      <w:proofErr w:type="spellEnd"/>
      <w:r w:rsidRPr="00022EA4">
        <w:rPr>
          <w:rFonts w:asciiTheme="majorHAnsi" w:hAnsiTheme="majorHAnsi"/>
          <w:bCs w:val="0"/>
          <w:color w:val="000000"/>
          <w:lang w:val="en-US" w:eastAsia="nl-NL" w:bidi="ar-SA"/>
        </w:rPr>
        <w:t xml:space="preserve"> and </w:t>
      </w:r>
      <w:proofErr w:type="spellStart"/>
      <w:r w:rsidRPr="00022EA4">
        <w:rPr>
          <w:rFonts w:asciiTheme="majorHAnsi" w:hAnsiTheme="majorHAnsi"/>
          <w:bCs w:val="0"/>
          <w:i/>
          <w:iCs/>
          <w:color w:val="000000"/>
          <w:lang w:val="en-US" w:eastAsia="nl-NL" w:bidi="ar-SA"/>
        </w:rPr>
        <w:t>Coriobacteridae</w:t>
      </w:r>
      <w:proofErr w:type="spellEnd"/>
      <w:r w:rsidRPr="00022EA4">
        <w:rPr>
          <w:rFonts w:asciiTheme="majorHAnsi" w:hAnsiTheme="majorHAnsi"/>
          <w:bCs w:val="0"/>
          <w:color w:val="000000"/>
          <w:lang w:val="en-US" w:eastAsia="nl-NL" w:bidi="ar-SA"/>
        </w:rPr>
        <w:t xml:space="preserve"> (excludes </w:t>
      </w:r>
      <w:proofErr w:type="spellStart"/>
      <w:r w:rsidRPr="00022EA4">
        <w:rPr>
          <w:rFonts w:asciiTheme="majorHAnsi" w:hAnsiTheme="majorHAnsi"/>
          <w:bCs w:val="0"/>
          <w:i/>
          <w:iCs/>
          <w:color w:val="000000"/>
          <w:lang w:val="en-US" w:eastAsia="nl-NL" w:bidi="ar-SA"/>
        </w:rPr>
        <w:t>Bifidobacteriaceae</w:t>
      </w:r>
      <w:proofErr w:type="spellEnd"/>
      <w:r w:rsidRPr="00022EA4">
        <w:rPr>
          <w:rFonts w:asciiTheme="majorHAnsi" w:hAnsiTheme="majorHAnsi"/>
          <w:bCs w:val="0"/>
          <w:color w:val="000000"/>
          <w:lang w:val="en-US" w:eastAsia="nl-NL" w:bidi="ar-SA"/>
        </w:rPr>
        <w:t>)</w:t>
      </w:r>
    </w:p>
    <w:p w14:paraId="35F0DE04" w14:textId="77777777" w:rsidR="002C451C" w:rsidRDefault="002C451C" w:rsidP="002C451C">
      <w:pPr>
        <w:suppressLineNumbers/>
        <w:spacing w:after="0" w:line="240" w:lineRule="auto"/>
        <w:jc w:val="left"/>
        <w:outlineLvl w:val="9"/>
        <w:rPr>
          <w:b/>
          <w:lang w:val="en-US"/>
        </w:rPr>
      </w:pPr>
      <w:r w:rsidRPr="00022EA4">
        <w:rPr>
          <w:rFonts w:asciiTheme="majorHAnsi" w:hAnsiTheme="majorHAnsi"/>
          <w:bCs w:val="0"/>
          <w:color w:val="000000"/>
          <w:lang w:val="en-US" w:eastAsia="nl-NL" w:bidi="ar-SA"/>
        </w:rPr>
        <w:t xml:space="preserve">‡ Universal primers detect only 0,1% of the order </w:t>
      </w:r>
      <w:proofErr w:type="spellStart"/>
      <w:r w:rsidRPr="00022EA4">
        <w:rPr>
          <w:rFonts w:asciiTheme="majorHAnsi" w:hAnsiTheme="majorHAnsi"/>
          <w:bCs w:val="0"/>
          <w:i/>
          <w:iCs/>
          <w:color w:val="000000"/>
          <w:lang w:val="en-US" w:eastAsia="nl-NL" w:bidi="ar-SA"/>
        </w:rPr>
        <w:t>Enterobacteriales</w:t>
      </w:r>
      <w:proofErr w:type="spellEnd"/>
    </w:p>
    <w:p w14:paraId="748209DB" w14:textId="77777777" w:rsidR="002C451C" w:rsidRDefault="002C451C" w:rsidP="002C451C">
      <w:pPr>
        <w:spacing w:line="480" w:lineRule="auto"/>
        <w:rPr>
          <w:b/>
          <w:lang w:val="en-US"/>
        </w:rPr>
        <w:sectPr w:rsidR="002C451C" w:rsidSect="00FD04FB">
          <w:pgSz w:w="16838" w:h="11906" w:orient="landscape"/>
          <w:pgMar w:top="1417" w:right="1417" w:bottom="1417" w:left="1417" w:header="708" w:footer="708" w:gutter="0"/>
          <w:cols w:space="708"/>
          <w:docGrid w:linePitch="360"/>
        </w:sectPr>
      </w:pPr>
    </w:p>
    <w:p w14:paraId="3BC0FE8F" w14:textId="77777777" w:rsidR="002C451C" w:rsidRPr="00A07A41" w:rsidRDefault="00FD04FB" w:rsidP="002C451C">
      <w:pPr>
        <w:suppressLineNumbers/>
        <w:spacing w:line="480" w:lineRule="auto"/>
        <w:rPr>
          <w:b/>
          <w:sz w:val="24"/>
          <w:szCs w:val="24"/>
          <w:lang w:val="en-US"/>
        </w:rPr>
      </w:pPr>
      <w:r>
        <w:rPr>
          <w:b/>
          <w:sz w:val="24"/>
          <w:szCs w:val="24"/>
          <w:lang w:val="en-US"/>
        </w:rPr>
        <w:t>Supplementary</w:t>
      </w:r>
      <w:r w:rsidR="002C451C" w:rsidRPr="00A07A41">
        <w:rPr>
          <w:b/>
          <w:sz w:val="24"/>
          <w:szCs w:val="24"/>
          <w:lang w:val="en-US"/>
        </w:rPr>
        <w:t xml:space="preserve"> Figure 1</w:t>
      </w:r>
    </w:p>
    <w:p w14:paraId="75F29248" w14:textId="77777777" w:rsidR="002C451C" w:rsidRDefault="002C451C" w:rsidP="002C451C">
      <w:pPr>
        <w:suppressLineNumbers/>
        <w:spacing w:line="480" w:lineRule="auto"/>
        <w:rPr>
          <w:b/>
          <w:lang w:val="en-US"/>
        </w:rPr>
      </w:pPr>
      <w:r>
        <w:rPr>
          <w:b/>
          <w:noProof/>
          <w:lang w:val="en-US" w:bidi="ar-SA"/>
        </w:rPr>
        <w:drawing>
          <wp:inline distT="0" distB="0" distL="0" distR="0" wp14:anchorId="182AD411" wp14:editId="3E165C87">
            <wp:extent cx="5765372" cy="8227695"/>
            <wp:effectExtent l="0" t="0" r="0" b="0"/>
            <wp:docPr id="2" name="Afbeelding 0" descr="Suppl 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 Figure 1.tif"/>
                    <pic:cNvPicPr/>
                  </pic:nvPicPr>
                  <pic:blipFill>
                    <a:blip r:embed="rId6" cstate="print"/>
                    <a:stretch>
                      <a:fillRect/>
                    </a:stretch>
                  </pic:blipFill>
                  <pic:spPr>
                    <a:xfrm>
                      <a:off x="0" y="0"/>
                      <a:ext cx="5765795" cy="8228299"/>
                    </a:xfrm>
                    <a:prstGeom prst="rect">
                      <a:avLst/>
                    </a:prstGeom>
                  </pic:spPr>
                </pic:pic>
              </a:graphicData>
            </a:graphic>
          </wp:inline>
        </w:drawing>
      </w:r>
      <w:r>
        <w:rPr>
          <w:b/>
          <w:lang w:val="en-US"/>
        </w:rPr>
        <w:br w:type="page"/>
      </w:r>
      <w:r w:rsidR="00FD04FB">
        <w:rPr>
          <w:b/>
          <w:sz w:val="24"/>
          <w:szCs w:val="24"/>
          <w:lang w:val="en-US"/>
        </w:rPr>
        <w:t>Supplementary</w:t>
      </w:r>
      <w:r w:rsidRPr="00A07A41">
        <w:rPr>
          <w:b/>
          <w:sz w:val="24"/>
          <w:szCs w:val="24"/>
          <w:lang w:val="en-US"/>
        </w:rPr>
        <w:t xml:space="preserve"> Figure 2</w:t>
      </w:r>
    </w:p>
    <w:p w14:paraId="75E2C84B" w14:textId="77777777" w:rsidR="00F540D7" w:rsidRDefault="002C451C">
      <w:r w:rsidRPr="002C451C">
        <w:rPr>
          <w:noProof/>
          <w:lang w:val="en-US" w:bidi="ar-SA"/>
        </w:rPr>
        <w:drawing>
          <wp:inline distT="0" distB="0" distL="0" distR="0" wp14:anchorId="7AE88466" wp14:editId="452C49B2">
            <wp:extent cx="5753100" cy="289560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2895600"/>
                    </a:xfrm>
                    <a:prstGeom prst="rect">
                      <a:avLst/>
                    </a:prstGeom>
                    <a:noFill/>
                    <a:ln>
                      <a:noFill/>
                    </a:ln>
                  </pic:spPr>
                </pic:pic>
              </a:graphicData>
            </a:graphic>
          </wp:inline>
        </w:drawing>
      </w:r>
    </w:p>
    <w:sectPr w:rsidR="00F540D7" w:rsidSect="00F54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0628B"/>
    <w:multiLevelType w:val="multilevel"/>
    <w:tmpl w:val="E28EDE68"/>
    <w:lvl w:ilvl="0">
      <w:start w:val="1"/>
      <w:numFmt w:val="decimal"/>
      <w:pStyle w:val="Heading2"/>
      <w:lvlText w:val="%1."/>
      <w:lvlJc w:val="left"/>
      <w:pPr>
        <w:ind w:left="567" w:hanging="567"/>
      </w:pPr>
      <w:rPr>
        <w:rFonts w:hint="default"/>
      </w:rPr>
    </w:lvl>
    <w:lvl w:ilvl="1">
      <w:start w:val="1"/>
      <w:numFmt w:val="decimal"/>
      <w:pStyle w:val="Heading5"/>
      <w:lvlText w:val="%1.%2"/>
      <w:lvlJc w:val="left"/>
      <w:pPr>
        <w:tabs>
          <w:tab w:val="num" w:pos="1440"/>
        </w:tabs>
        <w:ind w:left="720" w:hanging="153"/>
      </w:pPr>
      <w:rPr>
        <w:rFonts w:hint="default"/>
      </w:rPr>
    </w:lvl>
    <w:lvl w:ilvl="2">
      <w:start w:val="1"/>
      <w:numFmt w:val="decimal"/>
      <w:pStyle w:val="Heading9"/>
      <w:lvlText w:val="%1.%2.%3"/>
      <w:lvlJc w:val="left"/>
      <w:pPr>
        <w:tabs>
          <w:tab w:val="num" w:pos="1440"/>
        </w:tabs>
        <w:ind w:left="720" w:hanging="1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2"/>
  </w:compat>
  <w:rsids>
    <w:rsidRoot w:val="002C451C"/>
    <w:rsid w:val="000B00DC"/>
    <w:rsid w:val="000F7933"/>
    <w:rsid w:val="00126971"/>
    <w:rsid w:val="001F6ECB"/>
    <w:rsid w:val="00202BE6"/>
    <w:rsid w:val="00293F9E"/>
    <w:rsid w:val="002C451C"/>
    <w:rsid w:val="003D4B90"/>
    <w:rsid w:val="00447329"/>
    <w:rsid w:val="004D5951"/>
    <w:rsid w:val="00540F67"/>
    <w:rsid w:val="005C65BA"/>
    <w:rsid w:val="006A6DD4"/>
    <w:rsid w:val="006E2240"/>
    <w:rsid w:val="006F4ED8"/>
    <w:rsid w:val="00712C43"/>
    <w:rsid w:val="00791F0A"/>
    <w:rsid w:val="009154B0"/>
    <w:rsid w:val="009D4528"/>
    <w:rsid w:val="009F52AC"/>
    <w:rsid w:val="00A210DA"/>
    <w:rsid w:val="00A34E16"/>
    <w:rsid w:val="00B00FA5"/>
    <w:rsid w:val="00B75B7B"/>
    <w:rsid w:val="00BC4BB3"/>
    <w:rsid w:val="00C54500"/>
    <w:rsid w:val="00C730F5"/>
    <w:rsid w:val="00CC3D69"/>
    <w:rsid w:val="00CD7D3D"/>
    <w:rsid w:val="00CE20A3"/>
    <w:rsid w:val="00E13FEB"/>
    <w:rsid w:val="00E60A67"/>
    <w:rsid w:val="00EA314B"/>
    <w:rsid w:val="00EE3DFA"/>
    <w:rsid w:val="00F3750D"/>
    <w:rsid w:val="00F540D7"/>
    <w:rsid w:val="00FD04FB"/>
    <w:rsid w:val="00FF5F7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B3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1C"/>
    <w:pPr>
      <w:spacing w:after="200" w:line="276" w:lineRule="auto"/>
      <w:jc w:val="both"/>
      <w:outlineLvl w:val="0"/>
    </w:pPr>
    <w:rPr>
      <w:rFonts w:ascii="Cambria" w:hAnsi="Cambria"/>
      <w:bCs/>
      <w:sz w:val="22"/>
      <w:szCs w:val="22"/>
      <w:lang w:eastAsia="en-US" w:bidi="en-US"/>
    </w:rPr>
  </w:style>
  <w:style w:type="paragraph" w:styleId="Heading1">
    <w:name w:val="heading 1"/>
    <w:basedOn w:val="Normal"/>
    <w:next w:val="Normal"/>
    <w:link w:val="Heading1Char"/>
    <w:uiPriority w:val="9"/>
    <w:qFormat/>
    <w:rsid w:val="00126971"/>
    <w:pPr>
      <w:spacing w:before="480" w:after="0"/>
      <w:contextualSpacing/>
    </w:pPr>
    <w:rPr>
      <w:rFonts w:eastAsia="MS Gothic" w:cstheme="majorBidi"/>
      <w:b/>
      <w:sz w:val="28"/>
      <w:szCs w:val="28"/>
      <w:lang w:eastAsia="nl-NL" w:bidi="ar-SA"/>
    </w:rPr>
  </w:style>
  <w:style w:type="paragraph" w:styleId="Heading2">
    <w:name w:val="heading 2"/>
    <w:next w:val="Heading5"/>
    <w:link w:val="Heading2Char"/>
    <w:uiPriority w:val="9"/>
    <w:unhideWhenUsed/>
    <w:qFormat/>
    <w:rsid w:val="00126971"/>
    <w:pPr>
      <w:numPr>
        <w:numId w:val="3"/>
      </w:numPr>
      <w:spacing w:before="200" w:line="276" w:lineRule="auto"/>
      <w:outlineLvl w:val="1"/>
    </w:pPr>
    <w:rPr>
      <w:rFonts w:ascii="Cambria" w:eastAsia="MS Gothic" w:hAnsi="Cambria" w:cstheme="majorBidi"/>
      <w:b/>
      <w:bCs/>
      <w:sz w:val="26"/>
      <w:szCs w:val="26"/>
      <w:lang w:val="en-US" w:eastAsia="en-US" w:bidi="en-US"/>
    </w:rPr>
  </w:style>
  <w:style w:type="paragraph" w:styleId="Heading3">
    <w:name w:val="heading 3"/>
    <w:basedOn w:val="Normal"/>
    <w:next w:val="Normal"/>
    <w:link w:val="Heading3Char"/>
    <w:uiPriority w:val="9"/>
    <w:unhideWhenUsed/>
    <w:qFormat/>
    <w:rsid w:val="00126971"/>
    <w:pPr>
      <w:spacing w:before="200" w:after="0" w:line="271" w:lineRule="auto"/>
      <w:outlineLvl w:val="2"/>
    </w:pPr>
    <w:rPr>
      <w:rFonts w:eastAsia="MS Gothic" w:cstheme="majorBidi"/>
      <w:b/>
      <w:sz w:val="20"/>
      <w:szCs w:val="20"/>
      <w:lang w:eastAsia="nl-NL" w:bidi="ar-SA"/>
    </w:rPr>
  </w:style>
  <w:style w:type="paragraph" w:styleId="Heading4">
    <w:name w:val="heading 4"/>
    <w:basedOn w:val="Normal"/>
    <w:next w:val="Normal"/>
    <w:link w:val="Heading4Char"/>
    <w:uiPriority w:val="9"/>
    <w:unhideWhenUsed/>
    <w:qFormat/>
    <w:rsid w:val="00126971"/>
    <w:pPr>
      <w:spacing w:before="200" w:after="0"/>
      <w:outlineLvl w:val="3"/>
    </w:pPr>
    <w:rPr>
      <w:rFonts w:eastAsia="MS Gothic" w:cstheme="majorBidi"/>
      <w:b/>
      <w:i/>
      <w:iCs/>
      <w:sz w:val="20"/>
      <w:szCs w:val="20"/>
      <w:lang w:eastAsia="nl-NL" w:bidi="ar-SA"/>
    </w:rPr>
  </w:style>
  <w:style w:type="paragraph" w:styleId="Heading5">
    <w:name w:val="heading 5"/>
    <w:basedOn w:val="Heading1"/>
    <w:next w:val="Normal"/>
    <w:link w:val="Heading5Char"/>
    <w:uiPriority w:val="9"/>
    <w:unhideWhenUsed/>
    <w:qFormat/>
    <w:rsid w:val="00126971"/>
    <w:pPr>
      <w:numPr>
        <w:ilvl w:val="1"/>
        <w:numId w:val="3"/>
      </w:numPr>
      <w:spacing w:before="240"/>
      <w:outlineLvl w:val="4"/>
    </w:pPr>
    <w:rPr>
      <w:b w:val="0"/>
      <w:bCs w:val="0"/>
      <w:color w:val="006991"/>
      <w:sz w:val="22"/>
      <w:szCs w:val="26"/>
      <w:lang w:val="en-US" w:eastAsia="en-US" w:bidi="en-US"/>
    </w:rPr>
  </w:style>
  <w:style w:type="paragraph" w:styleId="Heading6">
    <w:name w:val="heading 6"/>
    <w:basedOn w:val="Normal"/>
    <w:next w:val="Normal"/>
    <w:link w:val="Heading6Char"/>
    <w:uiPriority w:val="9"/>
    <w:unhideWhenUsed/>
    <w:qFormat/>
    <w:rsid w:val="00126971"/>
    <w:pPr>
      <w:spacing w:after="0" w:line="271" w:lineRule="auto"/>
      <w:outlineLvl w:val="5"/>
    </w:pPr>
    <w:rPr>
      <w:rFonts w:eastAsia="MS Gothic" w:cstheme="majorBidi"/>
      <w:b/>
      <w:i/>
      <w:iCs/>
      <w:color w:val="7F7F7F"/>
      <w:sz w:val="20"/>
      <w:szCs w:val="20"/>
      <w:lang w:eastAsia="nl-NL" w:bidi="ar-SA"/>
    </w:rPr>
  </w:style>
  <w:style w:type="paragraph" w:styleId="Heading7">
    <w:name w:val="heading 7"/>
    <w:basedOn w:val="Normal"/>
    <w:next w:val="Normal"/>
    <w:link w:val="Heading7Char"/>
    <w:uiPriority w:val="9"/>
    <w:unhideWhenUsed/>
    <w:qFormat/>
    <w:rsid w:val="00126971"/>
    <w:pPr>
      <w:spacing w:after="0"/>
      <w:outlineLvl w:val="6"/>
    </w:pPr>
    <w:rPr>
      <w:rFonts w:eastAsia="MS Gothic" w:cstheme="majorBidi"/>
      <w:bCs w:val="0"/>
      <w:i/>
      <w:iCs/>
      <w:sz w:val="20"/>
      <w:szCs w:val="20"/>
      <w:lang w:eastAsia="nl-NL" w:bidi="ar-SA"/>
    </w:rPr>
  </w:style>
  <w:style w:type="paragraph" w:styleId="Heading8">
    <w:name w:val="heading 8"/>
    <w:basedOn w:val="Normal"/>
    <w:next w:val="Normal"/>
    <w:link w:val="Heading8Char"/>
    <w:uiPriority w:val="9"/>
    <w:unhideWhenUsed/>
    <w:qFormat/>
    <w:rsid w:val="00126971"/>
    <w:pPr>
      <w:spacing w:after="0"/>
      <w:outlineLvl w:val="7"/>
    </w:pPr>
    <w:rPr>
      <w:rFonts w:eastAsia="MS Gothic" w:cstheme="majorBidi"/>
      <w:bCs w:val="0"/>
      <w:sz w:val="20"/>
      <w:szCs w:val="20"/>
      <w:lang w:eastAsia="nl-NL" w:bidi="ar-SA"/>
    </w:rPr>
  </w:style>
  <w:style w:type="paragraph" w:styleId="Heading9">
    <w:name w:val="heading 9"/>
    <w:basedOn w:val="Normal"/>
    <w:next w:val="Normal"/>
    <w:link w:val="Heading9Char"/>
    <w:uiPriority w:val="9"/>
    <w:unhideWhenUsed/>
    <w:qFormat/>
    <w:rsid w:val="00126971"/>
    <w:pPr>
      <w:numPr>
        <w:ilvl w:val="2"/>
        <w:numId w:val="3"/>
      </w:numPr>
      <w:spacing w:after="0"/>
      <w:outlineLvl w:val="8"/>
    </w:pPr>
    <w:rPr>
      <w:rFonts w:eastAsia="MS Gothic" w:cstheme="majorBidi"/>
      <w:bCs w:val="0"/>
      <w:i/>
      <w:iCs/>
      <w:color w:val="006991"/>
      <w:spacing w:val="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971"/>
    <w:rPr>
      <w:rFonts w:ascii="Cambria" w:eastAsia="MS Gothic" w:hAnsi="Cambria" w:cstheme="majorBidi"/>
      <w:b/>
      <w:bCs/>
      <w:sz w:val="28"/>
      <w:szCs w:val="28"/>
    </w:rPr>
  </w:style>
  <w:style w:type="character" w:customStyle="1" w:styleId="Heading2Char">
    <w:name w:val="Heading 2 Char"/>
    <w:basedOn w:val="DefaultParagraphFont"/>
    <w:link w:val="Heading2"/>
    <w:uiPriority w:val="9"/>
    <w:rsid w:val="00126971"/>
    <w:rPr>
      <w:rFonts w:ascii="Cambria" w:eastAsia="MS Gothic" w:hAnsi="Cambria" w:cstheme="majorBidi"/>
      <w:b/>
      <w:bCs/>
      <w:sz w:val="26"/>
      <w:szCs w:val="26"/>
      <w:lang w:val="en-US" w:eastAsia="en-US" w:bidi="en-US"/>
    </w:rPr>
  </w:style>
  <w:style w:type="character" w:customStyle="1" w:styleId="Heading3Char">
    <w:name w:val="Heading 3 Char"/>
    <w:basedOn w:val="DefaultParagraphFont"/>
    <w:link w:val="Heading3"/>
    <w:uiPriority w:val="9"/>
    <w:rsid w:val="00126971"/>
    <w:rPr>
      <w:rFonts w:ascii="Cambria" w:eastAsia="MS Gothic" w:hAnsi="Cambria" w:cstheme="majorBidi"/>
      <w:b/>
      <w:bCs/>
    </w:rPr>
  </w:style>
  <w:style w:type="character" w:customStyle="1" w:styleId="Heading4Char">
    <w:name w:val="Heading 4 Char"/>
    <w:basedOn w:val="DefaultParagraphFont"/>
    <w:link w:val="Heading4"/>
    <w:uiPriority w:val="9"/>
    <w:rsid w:val="00126971"/>
    <w:rPr>
      <w:rFonts w:ascii="Cambria" w:eastAsia="MS Gothic" w:hAnsi="Cambria" w:cstheme="majorBidi"/>
      <w:b/>
      <w:bCs/>
      <w:i/>
      <w:iCs/>
    </w:rPr>
  </w:style>
  <w:style w:type="character" w:customStyle="1" w:styleId="Heading5Char">
    <w:name w:val="Heading 5 Char"/>
    <w:basedOn w:val="DefaultParagraphFont"/>
    <w:link w:val="Heading5"/>
    <w:uiPriority w:val="9"/>
    <w:rsid w:val="00126971"/>
    <w:rPr>
      <w:rFonts w:ascii="Cambria" w:eastAsia="MS Gothic" w:hAnsi="Cambria" w:cstheme="majorBidi"/>
      <w:color w:val="006991"/>
      <w:sz w:val="22"/>
      <w:szCs w:val="26"/>
      <w:lang w:val="en-US" w:eastAsia="en-US" w:bidi="en-US"/>
    </w:rPr>
  </w:style>
  <w:style w:type="character" w:customStyle="1" w:styleId="Heading6Char">
    <w:name w:val="Heading 6 Char"/>
    <w:basedOn w:val="DefaultParagraphFont"/>
    <w:link w:val="Heading6"/>
    <w:uiPriority w:val="9"/>
    <w:rsid w:val="00126971"/>
    <w:rPr>
      <w:rFonts w:ascii="Cambria" w:eastAsia="MS Gothic" w:hAnsi="Cambria" w:cstheme="majorBidi"/>
      <w:b/>
      <w:bCs/>
      <w:i/>
      <w:iCs/>
      <w:color w:val="7F7F7F"/>
    </w:rPr>
  </w:style>
  <w:style w:type="character" w:customStyle="1" w:styleId="Heading7Char">
    <w:name w:val="Heading 7 Char"/>
    <w:basedOn w:val="DefaultParagraphFont"/>
    <w:link w:val="Heading7"/>
    <w:uiPriority w:val="9"/>
    <w:rsid w:val="00126971"/>
    <w:rPr>
      <w:rFonts w:ascii="Cambria" w:eastAsia="MS Gothic" w:hAnsi="Cambria" w:cstheme="majorBidi"/>
      <w:i/>
      <w:iCs/>
    </w:rPr>
  </w:style>
  <w:style w:type="character" w:customStyle="1" w:styleId="Heading8Char">
    <w:name w:val="Heading 8 Char"/>
    <w:basedOn w:val="DefaultParagraphFont"/>
    <w:link w:val="Heading8"/>
    <w:uiPriority w:val="9"/>
    <w:rsid w:val="00126971"/>
    <w:rPr>
      <w:rFonts w:ascii="Cambria" w:eastAsia="MS Gothic" w:hAnsi="Cambria" w:cstheme="majorBidi"/>
    </w:rPr>
  </w:style>
  <w:style w:type="character" w:customStyle="1" w:styleId="Heading9Char">
    <w:name w:val="Heading 9 Char"/>
    <w:basedOn w:val="DefaultParagraphFont"/>
    <w:link w:val="Heading9"/>
    <w:uiPriority w:val="9"/>
    <w:rsid w:val="00126971"/>
    <w:rPr>
      <w:rFonts w:ascii="Cambria" w:eastAsia="MS Gothic" w:hAnsi="Cambria" w:cstheme="majorBidi"/>
      <w:i/>
      <w:iCs/>
      <w:color w:val="006991"/>
      <w:spacing w:val="5"/>
      <w:sz w:val="22"/>
      <w:lang w:val="en-US" w:eastAsia="en-US" w:bidi="en-US"/>
    </w:rPr>
  </w:style>
  <w:style w:type="paragraph" w:styleId="Title">
    <w:name w:val="Title"/>
    <w:basedOn w:val="Normal"/>
    <w:next w:val="Normal"/>
    <w:link w:val="TitleChar"/>
    <w:uiPriority w:val="10"/>
    <w:qFormat/>
    <w:rsid w:val="00126971"/>
    <w:pPr>
      <w:pBdr>
        <w:bottom w:val="single" w:sz="4" w:space="1" w:color="auto"/>
      </w:pBdr>
      <w:spacing w:line="240" w:lineRule="auto"/>
      <w:contextualSpacing/>
    </w:pPr>
    <w:rPr>
      <w:rFonts w:eastAsia="MS Gothic" w:cstheme="majorBidi"/>
      <w:b/>
      <w:spacing w:val="5"/>
      <w:sz w:val="36"/>
      <w:szCs w:val="36"/>
      <w:lang w:eastAsia="nl-NL" w:bidi="ar-SA"/>
    </w:rPr>
  </w:style>
  <w:style w:type="character" w:customStyle="1" w:styleId="TitleChar">
    <w:name w:val="Title Char"/>
    <w:basedOn w:val="DefaultParagraphFont"/>
    <w:link w:val="Title"/>
    <w:uiPriority w:val="10"/>
    <w:rsid w:val="00126971"/>
    <w:rPr>
      <w:rFonts w:ascii="Cambria" w:eastAsia="MS Gothic" w:hAnsi="Cambria" w:cstheme="majorBidi"/>
      <w:b/>
      <w:bCs/>
      <w:spacing w:val="5"/>
      <w:sz w:val="36"/>
      <w:szCs w:val="36"/>
    </w:rPr>
  </w:style>
  <w:style w:type="paragraph" w:styleId="Subtitle">
    <w:name w:val="Subtitle"/>
    <w:basedOn w:val="Normal"/>
    <w:next w:val="Normal"/>
    <w:link w:val="SubtitleChar"/>
    <w:uiPriority w:val="11"/>
    <w:qFormat/>
    <w:rsid w:val="00126971"/>
    <w:pPr>
      <w:spacing w:after="600"/>
    </w:pPr>
    <w:rPr>
      <w:rFonts w:eastAsia="MS Gothic" w:cstheme="majorBidi"/>
      <w:bCs w:val="0"/>
      <w:i/>
      <w:iCs/>
      <w:spacing w:val="13"/>
      <w:sz w:val="24"/>
      <w:szCs w:val="24"/>
      <w:lang w:eastAsia="nl-NL" w:bidi="ar-SA"/>
    </w:rPr>
  </w:style>
  <w:style w:type="character" w:customStyle="1" w:styleId="SubtitleChar">
    <w:name w:val="Subtitle Char"/>
    <w:basedOn w:val="DefaultParagraphFont"/>
    <w:link w:val="Subtitle"/>
    <w:uiPriority w:val="11"/>
    <w:rsid w:val="00126971"/>
    <w:rPr>
      <w:rFonts w:ascii="Cambria" w:eastAsia="MS Gothic" w:hAnsi="Cambria" w:cstheme="majorBidi"/>
      <w:i/>
      <w:iCs/>
      <w:spacing w:val="13"/>
      <w:sz w:val="24"/>
      <w:szCs w:val="24"/>
    </w:rPr>
  </w:style>
  <w:style w:type="character" w:styleId="Strong">
    <w:name w:val="Strong"/>
    <w:uiPriority w:val="22"/>
    <w:qFormat/>
    <w:rsid w:val="00126971"/>
    <w:rPr>
      <w:b/>
      <w:bCs/>
    </w:rPr>
  </w:style>
  <w:style w:type="character" w:styleId="Emphasis">
    <w:name w:val="Emphasis"/>
    <w:uiPriority w:val="20"/>
    <w:qFormat/>
    <w:rsid w:val="00126971"/>
    <w:rPr>
      <w:b/>
      <w:bCs/>
      <w:i/>
      <w:iCs/>
      <w:spacing w:val="10"/>
      <w:bdr w:val="none" w:sz="0" w:space="0" w:color="auto"/>
      <w:shd w:val="clear" w:color="auto" w:fill="auto"/>
    </w:rPr>
  </w:style>
  <w:style w:type="paragraph" w:styleId="NoSpacing">
    <w:name w:val="No Spacing"/>
    <w:basedOn w:val="Normal"/>
    <w:link w:val="NoSpacingChar1"/>
    <w:uiPriority w:val="1"/>
    <w:qFormat/>
    <w:rsid w:val="00126971"/>
    <w:pPr>
      <w:spacing w:after="0" w:line="240" w:lineRule="auto"/>
    </w:pPr>
  </w:style>
  <w:style w:type="character" w:customStyle="1" w:styleId="NoSpacingChar1">
    <w:name w:val="No Spacing Char1"/>
    <w:basedOn w:val="DefaultParagraphFont"/>
    <w:link w:val="NoSpacing"/>
    <w:uiPriority w:val="1"/>
    <w:rsid w:val="00126971"/>
  </w:style>
  <w:style w:type="paragraph" w:styleId="ListParagraph">
    <w:name w:val="List Paragraph"/>
    <w:basedOn w:val="Normal"/>
    <w:uiPriority w:val="34"/>
    <w:qFormat/>
    <w:rsid w:val="00126971"/>
    <w:pPr>
      <w:ind w:left="720"/>
      <w:contextualSpacing/>
    </w:pPr>
  </w:style>
  <w:style w:type="paragraph" w:styleId="Quote">
    <w:name w:val="Quote"/>
    <w:basedOn w:val="Normal"/>
    <w:next w:val="Normal"/>
    <w:link w:val="QuoteChar"/>
    <w:uiPriority w:val="29"/>
    <w:qFormat/>
    <w:rsid w:val="00126971"/>
    <w:pPr>
      <w:spacing w:before="200" w:after="0"/>
      <w:ind w:left="360" w:right="360"/>
    </w:pPr>
    <w:rPr>
      <w:rFonts w:ascii="Calibri" w:hAnsi="Calibri"/>
      <w:bCs w:val="0"/>
      <w:i/>
      <w:iCs/>
      <w:sz w:val="20"/>
      <w:szCs w:val="20"/>
      <w:lang w:eastAsia="nl-NL" w:bidi="ar-SA"/>
    </w:rPr>
  </w:style>
  <w:style w:type="character" w:customStyle="1" w:styleId="QuoteChar">
    <w:name w:val="Quote Char"/>
    <w:basedOn w:val="DefaultParagraphFont"/>
    <w:link w:val="Quote"/>
    <w:uiPriority w:val="29"/>
    <w:rsid w:val="00126971"/>
    <w:rPr>
      <w:i/>
      <w:iCs/>
    </w:rPr>
  </w:style>
  <w:style w:type="paragraph" w:styleId="IntenseQuote">
    <w:name w:val="Intense Quote"/>
    <w:basedOn w:val="Normal"/>
    <w:next w:val="Normal"/>
    <w:link w:val="IntenseQuoteChar"/>
    <w:uiPriority w:val="30"/>
    <w:qFormat/>
    <w:rsid w:val="00126971"/>
    <w:pPr>
      <w:pBdr>
        <w:bottom w:val="single" w:sz="4" w:space="1" w:color="auto"/>
      </w:pBdr>
      <w:spacing w:before="200" w:after="280"/>
      <w:ind w:left="1008" w:right="1152"/>
    </w:pPr>
    <w:rPr>
      <w:rFonts w:ascii="Calibri" w:hAnsi="Calibri"/>
      <w:b/>
      <w:i/>
      <w:iCs/>
      <w:sz w:val="20"/>
      <w:szCs w:val="20"/>
      <w:lang w:eastAsia="nl-NL" w:bidi="ar-SA"/>
    </w:rPr>
  </w:style>
  <w:style w:type="character" w:customStyle="1" w:styleId="IntenseQuoteChar">
    <w:name w:val="Intense Quote Char"/>
    <w:basedOn w:val="DefaultParagraphFont"/>
    <w:link w:val="IntenseQuote"/>
    <w:uiPriority w:val="30"/>
    <w:rsid w:val="00126971"/>
    <w:rPr>
      <w:b/>
      <w:bCs/>
      <w:i/>
      <w:iCs/>
    </w:rPr>
  </w:style>
  <w:style w:type="character" w:styleId="SubtleEmphasis">
    <w:name w:val="Subtle Emphasis"/>
    <w:uiPriority w:val="19"/>
    <w:qFormat/>
    <w:rsid w:val="00126971"/>
    <w:rPr>
      <w:i/>
      <w:iCs/>
    </w:rPr>
  </w:style>
  <w:style w:type="character" w:styleId="IntenseEmphasis">
    <w:name w:val="Intense Emphasis"/>
    <w:uiPriority w:val="21"/>
    <w:qFormat/>
    <w:rsid w:val="00126971"/>
    <w:rPr>
      <w:b/>
      <w:bCs/>
    </w:rPr>
  </w:style>
  <w:style w:type="character" w:styleId="SubtleReference">
    <w:name w:val="Subtle Reference"/>
    <w:uiPriority w:val="31"/>
    <w:qFormat/>
    <w:rsid w:val="00126971"/>
    <w:rPr>
      <w:smallCaps/>
    </w:rPr>
  </w:style>
  <w:style w:type="character" w:styleId="IntenseReference">
    <w:name w:val="Intense Reference"/>
    <w:uiPriority w:val="32"/>
    <w:qFormat/>
    <w:rsid w:val="00126971"/>
    <w:rPr>
      <w:smallCaps/>
      <w:spacing w:val="5"/>
      <w:u w:val="single"/>
    </w:rPr>
  </w:style>
  <w:style w:type="character" w:styleId="BookTitle">
    <w:name w:val="Book Title"/>
    <w:uiPriority w:val="33"/>
    <w:qFormat/>
    <w:rsid w:val="00126971"/>
    <w:rPr>
      <w:i/>
      <w:iCs/>
      <w:smallCaps/>
      <w:spacing w:val="5"/>
    </w:rPr>
  </w:style>
  <w:style w:type="paragraph" w:styleId="TOCHeading">
    <w:name w:val="TOC Heading"/>
    <w:basedOn w:val="Heading1"/>
    <w:next w:val="Normal"/>
    <w:uiPriority w:val="39"/>
    <w:semiHidden/>
    <w:unhideWhenUsed/>
    <w:qFormat/>
    <w:rsid w:val="00126971"/>
    <w:pPr>
      <w:outlineLvl w:val="9"/>
    </w:pPr>
    <w:rPr>
      <w:rFonts w:eastAsiaTheme="majorEastAsia"/>
      <w:bCs w:val="0"/>
      <w:lang w:eastAsia="en-US" w:bidi="en-US"/>
    </w:rPr>
  </w:style>
  <w:style w:type="paragraph" w:styleId="Caption">
    <w:name w:val="caption"/>
    <w:basedOn w:val="Normal"/>
    <w:next w:val="Normal"/>
    <w:uiPriority w:val="35"/>
    <w:rsid w:val="000B00DC"/>
    <w:rPr>
      <w:b/>
      <w:color w:val="365F91"/>
      <w:sz w:val="16"/>
      <w:szCs w:val="16"/>
    </w:rPr>
  </w:style>
  <w:style w:type="character" w:customStyle="1" w:styleId="Subtielebenadrukking1">
    <w:name w:val="Subtiele benadrukking1"/>
    <w:uiPriority w:val="19"/>
    <w:rsid w:val="000B00DC"/>
    <w:rPr>
      <w:i/>
      <w:iCs/>
    </w:rPr>
  </w:style>
  <w:style w:type="character" w:customStyle="1" w:styleId="Intensievebenadrukking1">
    <w:name w:val="Intensieve benadrukking1"/>
    <w:uiPriority w:val="21"/>
    <w:rsid w:val="000B00DC"/>
    <w:rPr>
      <w:b/>
      <w:bCs/>
    </w:rPr>
  </w:style>
  <w:style w:type="character" w:customStyle="1" w:styleId="Subtieleverwijzing1">
    <w:name w:val="Subtiele verwijzing1"/>
    <w:uiPriority w:val="31"/>
    <w:rsid w:val="000B00DC"/>
    <w:rPr>
      <w:smallCaps/>
    </w:rPr>
  </w:style>
  <w:style w:type="character" w:customStyle="1" w:styleId="Intensieveverwijzing1">
    <w:name w:val="Intensieve verwijzing1"/>
    <w:uiPriority w:val="32"/>
    <w:rsid w:val="000B00DC"/>
    <w:rPr>
      <w:smallCaps/>
      <w:spacing w:val="5"/>
      <w:u w:val="single"/>
    </w:rPr>
  </w:style>
  <w:style w:type="character" w:customStyle="1" w:styleId="Titelvanboek1">
    <w:name w:val="Titel van boek1"/>
    <w:uiPriority w:val="33"/>
    <w:rsid w:val="000B00DC"/>
    <w:rPr>
      <w:i/>
      <w:iCs/>
      <w:smallCaps/>
      <w:spacing w:val="5"/>
    </w:rPr>
  </w:style>
  <w:style w:type="paragraph" w:customStyle="1" w:styleId="Geenafstand1">
    <w:name w:val="Geen afstand1"/>
    <w:basedOn w:val="Normal"/>
    <w:link w:val="NoSpacingChar"/>
    <w:uiPriority w:val="1"/>
    <w:rsid w:val="000B00DC"/>
    <w:pPr>
      <w:spacing w:after="0" w:line="240" w:lineRule="auto"/>
    </w:pPr>
  </w:style>
  <w:style w:type="character" w:customStyle="1" w:styleId="NoSpacingChar">
    <w:name w:val="No Spacing Char"/>
    <w:basedOn w:val="DefaultParagraphFont"/>
    <w:link w:val="Geenafstand1"/>
    <w:uiPriority w:val="1"/>
    <w:rsid w:val="000B00DC"/>
    <w:rPr>
      <w:rFonts w:ascii="Verdana" w:hAnsi="Verdana"/>
      <w:sz w:val="22"/>
      <w:szCs w:val="22"/>
      <w:lang w:val="en-US" w:eastAsia="en-US" w:bidi="en-US"/>
    </w:rPr>
  </w:style>
  <w:style w:type="paragraph" w:customStyle="1" w:styleId="Kopvaninhoudsopgave1">
    <w:name w:val="Kop van inhoudsopgave1"/>
    <w:basedOn w:val="Heading1"/>
    <w:next w:val="Normal"/>
    <w:uiPriority w:val="39"/>
    <w:semiHidden/>
    <w:unhideWhenUsed/>
    <w:rsid w:val="000B00DC"/>
    <w:pPr>
      <w:outlineLvl w:val="9"/>
    </w:pPr>
    <w:rPr>
      <w:rFonts w:cs="Times New Roman"/>
    </w:rPr>
  </w:style>
  <w:style w:type="paragraph" w:styleId="TOC1">
    <w:name w:val="toc 1"/>
    <w:basedOn w:val="Heading2"/>
    <w:next w:val="Normal"/>
    <w:link w:val="TOC1Char"/>
    <w:autoRedefine/>
    <w:uiPriority w:val="39"/>
    <w:unhideWhenUsed/>
    <w:qFormat/>
    <w:rsid w:val="00126971"/>
    <w:pPr>
      <w:numPr>
        <w:numId w:val="0"/>
      </w:numPr>
      <w:tabs>
        <w:tab w:val="right" w:leader="underscore" w:pos="9062"/>
      </w:tabs>
      <w:spacing w:after="100"/>
      <w:outlineLvl w:val="9"/>
    </w:pPr>
    <w:rPr>
      <w:rFonts w:eastAsia="Times New Roman" w:cs="Times New Roman"/>
      <w:sz w:val="22"/>
      <w:lang w:val="nl-NL" w:bidi="ar-SA"/>
    </w:rPr>
  </w:style>
  <w:style w:type="character" w:customStyle="1" w:styleId="TOC1Char">
    <w:name w:val="TOC 1 Char"/>
    <w:basedOn w:val="DefaultParagraphFont"/>
    <w:link w:val="TOC1"/>
    <w:uiPriority w:val="39"/>
    <w:rsid w:val="00126971"/>
    <w:rPr>
      <w:rFonts w:ascii="Cambria" w:hAnsi="Cambria"/>
      <w:b/>
      <w:bCs/>
      <w:sz w:val="22"/>
      <w:szCs w:val="26"/>
      <w:lang w:eastAsia="en-US"/>
    </w:rPr>
  </w:style>
  <w:style w:type="paragraph" w:styleId="TOC2">
    <w:name w:val="toc 2"/>
    <w:basedOn w:val="Heading5"/>
    <w:next w:val="Normal"/>
    <w:autoRedefine/>
    <w:uiPriority w:val="39"/>
    <w:unhideWhenUsed/>
    <w:qFormat/>
    <w:rsid w:val="00126971"/>
    <w:pPr>
      <w:numPr>
        <w:ilvl w:val="0"/>
        <w:numId w:val="0"/>
      </w:numPr>
      <w:tabs>
        <w:tab w:val="right" w:leader="underscore" w:pos="9061"/>
      </w:tabs>
      <w:spacing w:before="0" w:after="100"/>
      <w:jc w:val="left"/>
      <w:outlineLvl w:val="9"/>
    </w:pPr>
    <w:rPr>
      <w:rFonts w:eastAsia="Times New Roman" w:cs="Times New Roman"/>
      <w:bCs/>
      <w:spacing w:val="5"/>
      <w:lang w:bidi="ar-SA"/>
    </w:rPr>
  </w:style>
  <w:style w:type="paragraph" w:styleId="TOC3">
    <w:name w:val="toc 3"/>
    <w:basedOn w:val="Heading9"/>
    <w:next w:val="Normal"/>
    <w:autoRedefine/>
    <w:uiPriority w:val="39"/>
    <w:unhideWhenUsed/>
    <w:qFormat/>
    <w:rsid w:val="00126971"/>
    <w:pPr>
      <w:numPr>
        <w:ilvl w:val="0"/>
        <w:numId w:val="0"/>
      </w:numPr>
      <w:tabs>
        <w:tab w:val="right" w:leader="underscore" w:pos="9061"/>
      </w:tabs>
      <w:spacing w:after="100"/>
      <w:jc w:val="left"/>
      <w:outlineLvl w:val="9"/>
    </w:pPr>
    <w:rPr>
      <w:rFonts w:eastAsia="Times New Roman" w:cs="Times New Roman"/>
      <w:bCs/>
      <w:lang w:bidi="ar-SA"/>
    </w:rPr>
  </w:style>
  <w:style w:type="table" w:customStyle="1" w:styleId="Lichtearcering-accent11">
    <w:name w:val="Lichte arcering - accent 11"/>
    <w:basedOn w:val="TableNormal"/>
    <w:uiPriority w:val="60"/>
    <w:rsid w:val="002C451C"/>
    <w:rPr>
      <w:rFonts w:asciiTheme="minorHAnsi" w:eastAsiaTheme="minorHAnsi" w:hAnsiTheme="minorHAnsi" w:cstheme="minorBidi"/>
      <w:color w:val="365F91" w:themeColor="accent1" w:themeShade="BF"/>
      <w:sz w:val="22"/>
      <w:szCs w:val="22"/>
      <w:lang w:val="pt-BR"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C4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1C"/>
    <w:rPr>
      <w:rFonts w:ascii="Tahoma" w:hAnsi="Tahoma" w:cs="Tahoma"/>
      <w:bCs/>
      <w:sz w:val="16"/>
      <w:szCs w:val="16"/>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POSIX"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9040</Words>
  <Characters>51533</Characters>
  <Application>Microsoft Macintosh Word</Application>
  <DocSecurity>0</DocSecurity>
  <Lines>429</Lines>
  <Paragraphs>120</Paragraphs>
  <ScaleCrop>false</ScaleCrop>
  <HeadingPairs>
    <vt:vector size="2" baseType="variant">
      <vt:variant>
        <vt:lpstr>Titel</vt:lpstr>
      </vt:variant>
      <vt:variant>
        <vt:i4>1</vt:i4>
      </vt:variant>
    </vt:vector>
  </HeadingPairs>
  <TitlesOfParts>
    <vt:vector size="1" baseType="lpstr">
      <vt:lpstr/>
    </vt:vector>
  </TitlesOfParts>
  <Company>UMC St Radboud</Company>
  <LinksUpToDate>false</LinksUpToDate>
  <CharactersWithSpaces>60453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z091131</dc:creator>
  <cp:lastModifiedBy>Annemarie Boleij</cp:lastModifiedBy>
  <cp:revision>3</cp:revision>
  <dcterms:created xsi:type="dcterms:W3CDTF">2017-05-24T17:11:00Z</dcterms:created>
  <dcterms:modified xsi:type="dcterms:W3CDTF">2017-05-24T20:41:00Z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http://www.zotero.org/styles/american-journal-of-epidemiology</vt:lpwstr>
  </property>
  <property fmtid="{D5CDD505-2E9C-101B-9397-08002B2CF9AE}" pid="4" name="Mendeley Recent Style Name 0_1">
    <vt:lpwstr>American Journal of Epidemiology</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http://csl.mendeley.com/styles/26391791/annals-of-oncology</vt:lpwstr>
  </property>
  <property fmtid="{D5CDD505-2E9C-101B-9397-08002B2CF9AE}" pid="12" name="Mendeley Recent Style Name 4_1">
    <vt:lpwstr>Annals of Oncology - Annemarie Boleij</vt:lpwstr>
  </property>
  <property fmtid="{D5CDD505-2E9C-101B-9397-08002B2CF9AE}" pid="13" name="Mendeley Recent Style Id 5_1">
    <vt:lpwstr>http://www.zotero.org/styles/european-respiratory-journal</vt:lpwstr>
  </property>
  <property fmtid="{D5CDD505-2E9C-101B-9397-08002B2CF9AE}" pid="14" name="Mendeley Recent Style Name 5_1">
    <vt:lpwstr>European Respiratory Journal</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http://www.zotero.org/styles/journal-of-clinical-pathology</vt:lpwstr>
  </property>
  <property fmtid="{D5CDD505-2E9C-101B-9397-08002B2CF9AE}" pid="20" name="Mendeley Recent Style Name 8_1">
    <vt:lpwstr>Journal of Clinical Pathology</vt:lpwstr>
  </property>
  <property fmtid="{D5CDD505-2E9C-101B-9397-08002B2CF9AE}" pid="21" name="Mendeley Recent Style Id 9_1">
    <vt:lpwstr>http://csl.mendeley.com/styles/26391791/nature-Annemarie-2</vt:lpwstr>
  </property>
  <property fmtid="{D5CDD505-2E9C-101B-9397-08002B2CF9AE}" pid="22" name="Mendeley Recent Style Name 9_1">
    <vt:lpwstr>Nature - Annemarie Boleij</vt:lpwstr>
  </property>
  <property fmtid="{D5CDD505-2E9C-101B-9397-08002B2CF9AE}" pid="23" name="Mendeley Citation Style_1">
    <vt:lpwstr>http://www.zotero.org/styles/journal-of-clinical-pathology</vt:lpwstr>
  </property>
  <property fmtid="{D5CDD505-2E9C-101B-9397-08002B2CF9AE}" pid="24" name="Mendeley Unique User Id_1">
    <vt:lpwstr>bd72a721-0ae2-3bb1-94b5-2660918a9e9b</vt:lpwstr>
  </property>
</Properties>
</file>